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F1D" w:rsidRPr="00C17F1D" w:rsidRDefault="00F37F21" w:rsidP="00C17F1D">
      <w:pPr>
        <w:shd w:val="clear" w:color="auto" w:fill="FFFFFF"/>
        <w:spacing w:after="450" w:line="240" w:lineRule="auto"/>
        <w:outlineLvl w:val="1"/>
        <w:rPr>
          <w:rFonts w:ascii="Arial" w:eastAsia="Times New Roman" w:hAnsi="Arial" w:cs="Arial"/>
          <w:b/>
          <w:bCs/>
          <w:color w:val="252525"/>
          <w:sz w:val="30"/>
          <w:szCs w:val="30"/>
        </w:rPr>
      </w:pPr>
      <w:r>
        <w:rPr>
          <w:rFonts w:ascii="Arial" w:eastAsia="Times New Roman" w:hAnsi="Arial" w:cs="Arial"/>
          <w:b/>
          <w:bCs/>
          <w:color w:val="252525"/>
          <w:sz w:val="30"/>
          <w:szCs w:val="30"/>
        </w:rPr>
        <w:t xml:space="preserve">1. </w:t>
      </w:r>
      <w:r w:rsidR="00C17F1D" w:rsidRPr="00C17F1D">
        <w:rPr>
          <w:rFonts w:ascii="Arial" w:eastAsia="Times New Roman" w:hAnsi="Arial" w:cs="Arial"/>
          <w:b/>
          <w:bCs/>
          <w:color w:val="252525"/>
          <w:sz w:val="30"/>
          <w:szCs w:val="30"/>
        </w:rPr>
        <w:t>Exercise 16-5 Determining net present value LO 16-2</w:t>
      </w:r>
    </w:p>
    <w:p w:rsidR="00C17F1D" w:rsidRPr="00C17F1D" w:rsidRDefault="00C17F1D" w:rsidP="00C17F1D">
      <w:pPr>
        <w:shd w:val="clear" w:color="auto" w:fill="FFFFFF"/>
        <w:spacing w:after="0" w:line="240" w:lineRule="auto"/>
        <w:rPr>
          <w:rFonts w:ascii="Arial" w:eastAsia="Times New Roman" w:hAnsi="Arial" w:cs="Arial"/>
          <w:color w:val="252525"/>
          <w:sz w:val="27"/>
          <w:szCs w:val="27"/>
        </w:rPr>
      </w:pPr>
      <w:r w:rsidRPr="00C17F1D">
        <w:rPr>
          <w:rFonts w:ascii="Arial" w:eastAsia="Times New Roman" w:hAnsi="Arial" w:cs="Arial"/>
          <w:color w:val="252525"/>
          <w:sz w:val="27"/>
          <w:szCs w:val="27"/>
        </w:rPr>
        <w:t>Monterey Company is considering investing in two new vans that are expected to generate combined cash inflows of $30,000 per year. The vans’ combined purchase price is $93,000. The expected life and salvage value of each are four years and $23,000, respectively. Monterey has an average cost of capital of 7 percent. (</w:t>
      </w:r>
      <w:hyperlink r:id="rId5" w:tgtFrame="_blank" w:history="1">
        <w:r w:rsidRPr="00C17F1D">
          <w:rPr>
            <w:rFonts w:ascii="Arial" w:eastAsia="Times New Roman" w:hAnsi="Arial" w:cs="Arial"/>
            <w:color w:val="3975B9"/>
            <w:sz w:val="27"/>
            <w:szCs w:val="27"/>
            <w:u w:val="single"/>
            <w:bdr w:val="none" w:sz="0" w:space="0" w:color="auto" w:frame="1"/>
          </w:rPr>
          <w:t>PV of $1</w:t>
        </w:r>
      </w:hyperlink>
      <w:r w:rsidRPr="00C17F1D">
        <w:rPr>
          <w:rFonts w:ascii="Arial" w:eastAsia="Times New Roman" w:hAnsi="Arial" w:cs="Arial"/>
          <w:color w:val="252525"/>
          <w:sz w:val="27"/>
          <w:szCs w:val="27"/>
        </w:rPr>
        <w:t> and </w:t>
      </w:r>
      <w:hyperlink r:id="rId6" w:tgtFrame="_blank" w:history="1">
        <w:r w:rsidRPr="00C17F1D">
          <w:rPr>
            <w:rFonts w:ascii="Arial" w:eastAsia="Times New Roman" w:hAnsi="Arial" w:cs="Arial"/>
            <w:color w:val="3975B9"/>
            <w:sz w:val="27"/>
            <w:szCs w:val="27"/>
            <w:u w:val="single"/>
            <w:bdr w:val="none" w:sz="0" w:space="0" w:color="auto" w:frame="1"/>
          </w:rPr>
          <w:t>PVA of $1</w:t>
        </w:r>
      </w:hyperlink>
      <w:r w:rsidRPr="00C17F1D">
        <w:rPr>
          <w:rFonts w:ascii="Arial" w:eastAsia="Times New Roman" w:hAnsi="Arial" w:cs="Arial"/>
          <w:color w:val="252525"/>
          <w:sz w:val="27"/>
          <w:szCs w:val="27"/>
        </w:rPr>
        <w:t>) </w:t>
      </w:r>
      <w:r w:rsidRPr="00C17F1D">
        <w:rPr>
          <w:rFonts w:ascii="inherit" w:eastAsia="Times New Roman" w:hAnsi="inherit" w:cs="Arial"/>
          <w:b/>
          <w:bCs/>
          <w:color w:val="FF0000"/>
          <w:sz w:val="27"/>
          <w:szCs w:val="27"/>
          <w:bdr w:val="none" w:sz="0" w:space="0" w:color="auto" w:frame="1"/>
        </w:rPr>
        <w:t>(Use appropriate factor(s) from the tables provided.)</w:t>
      </w:r>
    </w:p>
    <w:p w:rsidR="00C17F1D" w:rsidRPr="00C17F1D" w:rsidRDefault="00C17F1D" w:rsidP="00C17F1D">
      <w:pPr>
        <w:shd w:val="clear" w:color="auto" w:fill="FFFFFF"/>
        <w:spacing w:after="0" w:line="240" w:lineRule="auto"/>
        <w:rPr>
          <w:rFonts w:ascii="Arial" w:eastAsia="Times New Roman" w:hAnsi="Arial" w:cs="Arial"/>
          <w:color w:val="252525"/>
          <w:sz w:val="27"/>
          <w:szCs w:val="27"/>
        </w:rPr>
      </w:pPr>
      <w:r w:rsidRPr="00C17F1D">
        <w:rPr>
          <w:rFonts w:ascii="Arial" w:eastAsia="Times New Roman" w:hAnsi="Arial" w:cs="Arial"/>
          <w:color w:val="252525"/>
          <w:sz w:val="27"/>
          <w:szCs w:val="27"/>
        </w:rPr>
        <w:t> </w:t>
      </w:r>
    </w:p>
    <w:p w:rsidR="00C17F1D" w:rsidRPr="00C17F1D" w:rsidRDefault="00C17F1D" w:rsidP="00C17F1D">
      <w:pPr>
        <w:shd w:val="clear" w:color="auto" w:fill="FFFFFF"/>
        <w:spacing w:after="0" w:line="240" w:lineRule="auto"/>
        <w:rPr>
          <w:rFonts w:ascii="Arial" w:eastAsia="Times New Roman" w:hAnsi="Arial" w:cs="Arial"/>
          <w:color w:val="252525"/>
          <w:sz w:val="27"/>
          <w:szCs w:val="27"/>
        </w:rPr>
      </w:pPr>
      <w:r w:rsidRPr="00C17F1D">
        <w:rPr>
          <w:rFonts w:ascii="inherit" w:eastAsia="Times New Roman" w:hAnsi="inherit" w:cs="Arial"/>
          <w:b/>
          <w:bCs/>
          <w:color w:val="252525"/>
          <w:sz w:val="27"/>
          <w:szCs w:val="27"/>
          <w:bdr w:val="none" w:sz="0" w:space="0" w:color="auto" w:frame="1"/>
        </w:rPr>
        <w:t>Required</w:t>
      </w:r>
    </w:p>
    <w:p w:rsidR="00C17F1D" w:rsidRPr="00C17F1D" w:rsidRDefault="00C17F1D" w:rsidP="00C17F1D">
      <w:pPr>
        <w:numPr>
          <w:ilvl w:val="0"/>
          <w:numId w:val="1"/>
        </w:numPr>
        <w:shd w:val="clear" w:color="auto" w:fill="FFFFFF"/>
        <w:spacing w:after="0" w:line="240" w:lineRule="auto"/>
        <w:rPr>
          <w:rFonts w:ascii="inherit" w:eastAsia="Times New Roman" w:hAnsi="inherit" w:cs="Arial"/>
          <w:b/>
          <w:bCs/>
          <w:color w:val="252525"/>
          <w:sz w:val="27"/>
          <w:szCs w:val="27"/>
        </w:rPr>
      </w:pPr>
      <w:r w:rsidRPr="00C17F1D">
        <w:rPr>
          <w:rFonts w:ascii="inherit" w:eastAsia="Times New Roman" w:hAnsi="inherit" w:cs="Arial"/>
          <w:color w:val="252525"/>
          <w:sz w:val="27"/>
          <w:szCs w:val="27"/>
          <w:bdr w:val="none" w:sz="0" w:space="0" w:color="auto" w:frame="1"/>
        </w:rPr>
        <w:t>Calculate the net present value of the investment opportunity. </w:t>
      </w:r>
      <w:r w:rsidRPr="00C17F1D">
        <w:rPr>
          <w:rFonts w:ascii="inherit" w:eastAsia="Times New Roman" w:hAnsi="inherit" w:cs="Arial"/>
          <w:b/>
          <w:bCs/>
          <w:color w:val="FF0000"/>
          <w:sz w:val="27"/>
          <w:szCs w:val="27"/>
          <w:bdr w:val="none" w:sz="0" w:space="0" w:color="auto" w:frame="1"/>
        </w:rPr>
        <w:t>(Round your intermediate calculations and final answer to 2 decimal places.)</w:t>
      </w:r>
    </w:p>
    <w:p w:rsidR="00C17F1D" w:rsidRPr="00F37F21" w:rsidRDefault="00C17F1D" w:rsidP="00C17F1D">
      <w:pPr>
        <w:numPr>
          <w:ilvl w:val="0"/>
          <w:numId w:val="1"/>
        </w:numPr>
        <w:shd w:val="clear" w:color="auto" w:fill="FFFFFF"/>
        <w:spacing w:after="0" w:line="240" w:lineRule="auto"/>
        <w:rPr>
          <w:rFonts w:ascii="inherit" w:eastAsia="Times New Roman" w:hAnsi="inherit" w:cs="Arial"/>
          <w:b/>
          <w:bCs/>
          <w:color w:val="252525"/>
          <w:sz w:val="27"/>
          <w:szCs w:val="27"/>
        </w:rPr>
      </w:pPr>
      <w:r w:rsidRPr="00C17F1D">
        <w:rPr>
          <w:rFonts w:ascii="inherit" w:eastAsia="Times New Roman" w:hAnsi="inherit" w:cs="Arial"/>
          <w:color w:val="252525"/>
          <w:sz w:val="27"/>
          <w:szCs w:val="27"/>
          <w:bdr w:val="none" w:sz="0" w:space="0" w:color="auto" w:frame="1"/>
        </w:rPr>
        <w:t>Indicate whether the investment opportunity is expected to earn a return that is above or below the cost of capital and whether it should be accepted.</w:t>
      </w:r>
    </w:p>
    <w:tbl>
      <w:tblPr>
        <w:tblW w:w="0" w:type="auto"/>
        <w:tblCellSpacing w:w="0" w:type="dxa"/>
        <w:tblCellMar>
          <w:left w:w="0" w:type="dxa"/>
          <w:right w:w="0" w:type="dxa"/>
        </w:tblCellMar>
        <w:tblLook w:val="04A0" w:firstRow="1" w:lastRow="0" w:firstColumn="1" w:lastColumn="0" w:noHBand="0" w:noVBand="1"/>
      </w:tblPr>
      <w:tblGrid>
        <w:gridCol w:w="6"/>
        <w:gridCol w:w="9992"/>
      </w:tblGrid>
      <w:tr w:rsidR="00F37F21" w:rsidRPr="00F37F21" w:rsidTr="00F37F21">
        <w:trPr>
          <w:gridAfter w:val="1"/>
          <w:wAfter w:w="7050"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c>
          <w:tcPr>
            <w:tcW w:w="7050" w:type="dxa"/>
            <w:tcBorders>
              <w:top w:val="nil"/>
              <w:left w:val="nil"/>
              <w:bottom w:val="nil"/>
              <w:right w:val="nil"/>
            </w:tcBorders>
            <w:hideMark/>
          </w:tcPr>
          <w:tbl>
            <w:tblPr>
              <w:tblW w:w="9981"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339"/>
              <w:gridCol w:w="6192"/>
              <w:gridCol w:w="3450"/>
            </w:tblGrid>
            <w:tr w:rsidR="00F37F21" w:rsidRPr="00F37F21" w:rsidTr="00F37F21">
              <w:trPr>
                <w:trHeight w:val="345"/>
                <w:tblCellSpacing w:w="0" w:type="dxa"/>
              </w:trPr>
              <w:tc>
                <w:tcPr>
                  <w:tcW w:w="9981" w:type="dxa"/>
                  <w:gridSpan w:val="3"/>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a.</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Net present value</w:t>
                  </w:r>
                </w:p>
              </w:tc>
              <w:tc>
                <w:tcPr>
                  <w:tcW w:w="316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Pr="00465C1B">
                    <w:rPr>
                      <w:rFonts w:ascii="Arial" w:eastAsia="Times New Roman" w:hAnsi="Arial" w:cs="Arial"/>
                      <w:color w:val="222222"/>
                      <w:sz w:val="24"/>
                      <w:szCs w:val="24"/>
                    </w:rPr>
                    <w:t>26162.77</w:t>
                  </w:r>
                  <w:r>
                    <w:rPr>
                      <w:rFonts w:ascii="Arial" w:eastAsia="Times New Roman" w:hAnsi="Arial" w:cs="Arial"/>
                      <w:color w:val="222222"/>
                      <w:sz w:val="24"/>
                      <w:szCs w:val="24"/>
                    </w:rPr>
                    <w:t xml:space="preserve"> </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b.</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Will the return be above or below the cost of capital?</w:t>
                  </w:r>
                </w:p>
              </w:tc>
              <w:tc>
                <w:tcPr>
                  <w:tcW w:w="316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Above</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Should the investment opportunity be accepted?</w:t>
                  </w:r>
                </w:p>
              </w:tc>
              <w:tc>
                <w:tcPr>
                  <w:tcW w:w="316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Accept </w:t>
                  </w:r>
                </w:p>
              </w:tc>
            </w:tr>
          </w:tbl>
          <w:p w:rsidR="00F37F21" w:rsidRPr="00F37F21" w:rsidRDefault="00F37F21" w:rsidP="00F37F21">
            <w:pPr>
              <w:spacing w:after="0" w:line="240" w:lineRule="auto"/>
              <w:rPr>
                <w:rFonts w:ascii="Verdana" w:eastAsia="Times New Roman" w:hAnsi="Verdana" w:cs="Times New Roman"/>
                <w:color w:val="000000"/>
                <w:sz w:val="20"/>
                <w:szCs w:val="20"/>
              </w:rPr>
            </w:pPr>
          </w:p>
        </w:tc>
      </w:tr>
    </w:tbl>
    <w:p w:rsidR="00F37F21" w:rsidRPr="00F37F21" w:rsidRDefault="00F37F21" w:rsidP="00F37F21">
      <w:pPr>
        <w:pStyle w:val="Heading2"/>
        <w:shd w:val="clear" w:color="auto" w:fill="FFFFFF"/>
        <w:spacing w:before="0" w:beforeAutospacing="0" w:after="450" w:afterAutospacing="0"/>
        <w:rPr>
          <w:rFonts w:ascii="Arial" w:hAnsi="Arial" w:cs="Arial"/>
          <w:color w:val="252525"/>
          <w:sz w:val="30"/>
          <w:szCs w:val="30"/>
        </w:rPr>
      </w:pPr>
      <w:r>
        <w:rPr>
          <w:rFonts w:ascii="inherit" w:hAnsi="inherit" w:cs="Arial"/>
          <w:b w:val="0"/>
          <w:bCs w:val="0"/>
          <w:color w:val="252525"/>
          <w:sz w:val="27"/>
          <w:szCs w:val="27"/>
        </w:rPr>
        <w:t>2.</w:t>
      </w:r>
      <w:r w:rsidRPr="00F37F21">
        <w:rPr>
          <w:rFonts w:ascii="Arial" w:hAnsi="Arial" w:cs="Arial"/>
          <w:color w:val="252525"/>
          <w:sz w:val="30"/>
          <w:szCs w:val="30"/>
        </w:rPr>
        <w:t xml:space="preserve"> Exercise 16-6 Determining net present value LO 16-2</w:t>
      </w:r>
    </w:p>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Arial" w:eastAsia="Times New Roman" w:hAnsi="Arial" w:cs="Arial"/>
          <w:color w:val="252525"/>
          <w:sz w:val="27"/>
          <w:szCs w:val="27"/>
        </w:rPr>
        <w:t>Aaron Heath is seeking part-time employment while he attends school. He is considering purchasing technical equipment that will enable him to start a small training services company that will offer tutorial services over the Internet. Aaron expects demand for the service to grow rapidly in the first two years of operation as customers learn about the availability of the Internet assistance. Thereafter, he expects demand to stabilize. The following table presents the expected cash flows.</w:t>
      </w:r>
    </w:p>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Arial" w:eastAsia="Times New Roman" w:hAnsi="Arial" w:cs="Arial"/>
          <w:color w:val="252525"/>
          <w:sz w:val="27"/>
          <w:szCs w:val="27"/>
        </w:rPr>
        <w:t> </w:t>
      </w:r>
    </w:p>
    <w:tbl>
      <w:tblPr>
        <w:tblW w:w="0" w:type="auto"/>
        <w:tblCellSpacing w:w="0" w:type="dxa"/>
        <w:tblCellMar>
          <w:left w:w="0" w:type="dxa"/>
          <w:right w:w="0" w:type="dxa"/>
        </w:tblCellMar>
        <w:tblLook w:val="04A0" w:firstRow="1" w:lastRow="0" w:firstColumn="1" w:lastColumn="0" w:noHBand="0" w:noVBand="1"/>
      </w:tblPr>
      <w:tblGrid>
        <w:gridCol w:w="1297"/>
        <w:gridCol w:w="199"/>
        <w:gridCol w:w="1187"/>
        <w:gridCol w:w="199"/>
        <w:gridCol w:w="217"/>
        <w:gridCol w:w="1295"/>
        <w:gridCol w:w="217"/>
      </w:tblGrid>
      <w:tr w:rsidR="00F37F21" w:rsidRPr="00F37F21" w:rsidTr="00F37F21">
        <w:trPr>
          <w:tblCellSpacing w:w="0" w:type="dxa"/>
        </w:trPr>
        <w:tc>
          <w:tcPr>
            <w:tcW w:w="0" w:type="auto"/>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Year of</w:t>
            </w:r>
          </w:p>
        </w:tc>
        <w:tc>
          <w:tcPr>
            <w:tcW w:w="0" w:type="auto"/>
            <w:gridSpan w:val="3"/>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gridSpan w:val="3"/>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r>
      <w:tr w:rsidR="00F37F21" w:rsidRPr="00F37F21" w:rsidTr="00F37F21">
        <w:trPr>
          <w:tblCellSpacing w:w="0" w:type="dxa"/>
        </w:trPr>
        <w:tc>
          <w:tcPr>
            <w:tcW w:w="0" w:type="auto"/>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Operation</w:t>
            </w:r>
          </w:p>
        </w:tc>
        <w:tc>
          <w:tcPr>
            <w:tcW w:w="0" w:type="auto"/>
            <w:gridSpan w:val="3"/>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Cash Inflow</w:t>
            </w:r>
          </w:p>
        </w:tc>
        <w:tc>
          <w:tcPr>
            <w:tcW w:w="0" w:type="auto"/>
            <w:gridSpan w:val="3"/>
            <w:shd w:val="clear" w:color="auto" w:fill="D7DCE6"/>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Cash Outflow</w:t>
            </w:r>
          </w:p>
        </w:tc>
      </w:tr>
      <w:tr w:rsidR="00F37F21" w:rsidRPr="00F37F21" w:rsidTr="00F37F21">
        <w:trPr>
          <w:tblCellSpacing w:w="0" w:type="dxa"/>
        </w:trPr>
        <w:tc>
          <w:tcPr>
            <w:tcW w:w="0" w:type="auto"/>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2019</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25,000</w:t>
            </w:r>
          </w:p>
        </w:tc>
        <w:tc>
          <w:tcPr>
            <w:tcW w:w="0" w:type="auto"/>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12,000</w:t>
            </w:r>
          </w:p>
        </w:tc>
        <w:tc>
          <w:tcPr>
            <w:tcW w:w="0" w:type="auto"/>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r>
      <w:tr w:rsidR="00F37F21" w:rsidRPr="00F37F21" w:rsidTr="00F37F21">
        <w:trPr>
          <w:tblCellSpacing w:w="0" w:type="dxa"/>
        </w:trPr>
        <w:tc>
          <w:tcPr>
            <w:tcW w:w="0" w:type="auto"/>
            <w:shd w:val="clear" w:color="auto" w:fill="F7F7F7"/>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2020</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29,000</w:t>
            </w:r>
          </w:p>
        </w:tc>
        <w:tc>
          <w:tcPr>
            <w:tcW w:w="0" w:type="auto"/>
            <w:shd w:val="clear" w:color="auto" w:fill="F7F7F7"/>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16,000</w:t>
            </w:r>
          </w:p>
        </w:tc>
        <w:tc>
          <w:tcPr>
            <w:tcW w:w="0" w:type="auto"/>
            <w:shd w:val="clear" w:color="auto" w:fill="F7F7F7"/>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r>
      <w:tr w:rsidR="00F37F21" w:rsidRPr="00F37F21" w:rsidTr="00F37F21">
        <w:trPr>
          <w:tblCellSpacing w:w="0" w:type="dxa"/>
        </w:trPr>
        <w:tc>
          <w:tcPr>
            <w:tcW w:w="0" w:type="auto"/>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lastRenderedPageBreak/>
              <w:t>2021</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32,000</w:t>
            </w:r>
          </w:p>
        </w:tc>
        <w:tc>
          <w:tcPr>
            <w:tcW w:w="0" w:type="auto"/>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18,000</w:t>
            </w:r>
          </w:p>
        </w:tc>
        <w:tc>
          <w:tcPr>
            <w:tcW w:w="0" w:type="auto"/>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r>
      <w:tr w:rsidR="00F37F21" w:rsidRPr="00F37F21" w:rsidTr="00F37F21">
        <w:trPr>
          <w:tblCellSpacing w:w="0" w:type="dxa"/>
        </w:trPr>
        <w:tc>
          <w:tcPr>
            <w:tcW w:w="0" w:type="auto"/>
            <w:shd w:val="clear" w:color="auto" w:fill="F7F7F7"/>
            <w:vAlign w:val="center"/>
            <w:hideMark/>
          </w:tcPr>
          <w:p w:rsidR="00F37F21" w:rsidRPr="00F37F21" w:rsidRDefault="00F37F21" w:rsidP="00F37F21">
            <w:pPr>
              <w:spacing w:after="0" w:line="240" w:lineRule="auto"/>
              <w:jc w:val="center"/>
              <w:rPr>
                <w:rFonts w:ascii="Courier New" w:eastAsia="Times New Roman" w:hAnsi="Courier New" w:cs="Courier New"/>
                <w:sz w:val="24"/>
                <w:szCs w:val="24"/>
              </w:rPr>
            </w:pPr>
            <w:r w:rsidRPr="00F37F21">
              <w:rPr>
                <w:rFonts w:ascii="Courier New" w:eastAsia="Times New Roman" w:hAnsi="Courier New" w:cs="Courier New"/>
                <w:sz w:val="24"/>
                <w:szCs w:val="24"/>
              </w:rPr>
              <w:t>2022</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32,000</w:t>
            </w:r>
          </w:p>
        </w:tc>
        <w:tc>
          <w:tcPr>
            <w:tcW w:w="0" w:type="auto"/>
            <w:shd w:val="clear" w:color="auto" w:fill="F7F7F7"/>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c>
          <w:tcPr>
            <w:tcW w:w="0" w:type="auto"/>
            <w:shd w:val="clear" w:color="auto" w:fill="F7F7F7"/>
            <w:vAlign w:val="center"/>
            <w:hideMark/>
          </w:tcPr>
          <w:p w:rsidR="00F37F21" w:rsidRPr="00F37F21" w:rsidRDefault="00F37F21" w:rsidP="00F37F21">
            <w:pPr>
              <w:spacing w:after="0" w:line="240" w:lineRule="auto"/>
              <w:jc w:val="right"/>
              <w:rPr>
                <w:rFonts w:ascii="Courier New" w:eastAsia="Times New Roman" w:hAnsi="Courier New" w:cs="Courier New"/>
                <w:sz w:val="24"/>
                <w:szCs w:val="24"/>
              </w:rPr>
            </w:pPr>
            <w:r w:rsidRPr="00F37F21">
              <w:rPr>
                <w:rFonts w:ascii="Courier New" w:eastAsia="Times New Roman" w:hAnsi="Courier New" w:cs="Courier New"/>
                <w:sz w:val="24"/>
                <w:szCs w:val="24"/>
              </w:rPr>
              <w:t>18,000</w:t>
            </w:r>
          </w:p>
        </w:tc>
        <w:tc>
          <w:tcPr>
            <w:tcW w:w="0" w:type="auto"/>
            <w:shd w:val="clear" w:color="auto" w:fill="F7F7F7"/>
            <w:vAlign w:val="center"/>
            <w:hideMark/>
          </w:tcPr>
          <w:p w:rsidR="00F37F21" w:rsidRPr="00F37F21" w:rsidRDefault="00F37F21" w:rsidP="00F37F21">
            <w:pPr>
              <w:spacing w:after="0" w:line="240" w:lineRule="auto"/>
              <w:rPr>
                <w:rFonts w:ascii="Courier New" w:eastAsia="Times New Roman" w:hAnsi="Courier New" w:cs="Courier New"/>
                <w:sz w:val="24"/>
                <w:szCs w:val="24"/>
              </w:rPr>
            </w:pPr>
            <w:r w:rsidRPr="00F37F21">
              <w:rPr>
                <w:rFonts w:ascii="Courier New" w:eastAsia="Times New Roman" w:hAnsi="Courier New" w:cs="Courier New"/>
                <w:sz w:val="24"/>
                <w:szCs w:val="24"/>
              </w:rPr>
              <w:t> </w:t>
            </w:r>
          </w:p>
        </w:tc>
      </w:tr>
      <w:tr w:rsidR="00F37F21" w:rsidRPr="00F37F21" w:rsidTr="00F37F21">
        <w:trPr>
          <w:tblCellSpacing w:w="0" w:type="dxa"/>
        </w:trPr>
        <w:tc>
          <w:tcPr>
            <w:tcW w:w="0" w:type="auto"/>
            <w:gridSpan w:val="7"/>
            <w:vAlign w:val="center"/>
            <w:hideMark/>
          </w:tcPr>
          <w:p w:rsidR="00F37F21" w:rsidRPr="00F37F21" w:rsidRDefault="00EF4334" w:rsidP="00F37F21">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pict>
                <v:rect id="_x0000_i1025" style="width:0;height:3.75pt" o:hrstd="t" o:hrnoshade="t" o:hr="t" fillcolor="#cdd4e0" stroked="f"/>
              </w:pict>
            </w:r>
          </w:p>
        </w:tc>
      </w:tr>
    </w:tbl>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Arial" w:eastAsia="Times New Roman" w:hAnsi="Arial" w:cs="Arial"/>
          <w:color w:val="252525"/>
          <w:sz w:val="27"/>
          <w:szCs w:val="27"/>
        </w:rPr>
        <w:t>In addition to these cash flows, Aaron expects to pay $25,000 for the equipment. He also expects to pay $4,000 for a major overhaul and updating of the equipment at the end of the second year of operation. The equipment is expected to have a $4,000 salvage value and a four year useful life. Aaron desires to earn a rate of return of 8 percent. (</w:t>
      </w:r>
      <w:hyperlink r:id="rId7" w:tgtFrame="_blank" w:history="1">
        <w:r w:rsidRPr="00F37F21">
          <w:rPr>
            <w:rFonts w:ascii="Arial" w:eastAsia="Times New Roman" w:hAnsi="Arial" w:cs="Arial"/>
            <w:color w:val="3975B9"/>
            <w:sz w:val="27"/>
            <w:szCs w:val="27"/>
            <w:u w:val="single"/>
            <w:bdr w:val="none" w:sz="0" w:space="0" w:color="auto" w:frame="1"/>
          </w:rPr>
          <w:t>PV of $1</w:t>
        </w:r>
      </w:hyperlink>
      <w:r w:rsidRPr="00F37F21">
        <w:rPr>
          <w:rFonts w:ascii="Arial" w:eastAsia="Times New Roman" w:hAnsi="Arial" w:cs="Arial"/>
          <w:color w:val="252525"/>
          <w:sz w:val="27"/>
          <w:szCs w:val="27"/>
        </w:rPr>
        <w:t> and </w:t>
      </w:r>
      <w:hyperlink r:id="rId8" w:tgtFrame="_blank" w:history="1">
        <w:r w:rsidRPr="00F37F21">
          <w:rPr>
            <w:rFonts w:ascii="Arial" w:eastAsia="Times New Roman" w:hAnsi="Arial" w:cs="Arial"/>
            <w:color w:val="3975B9"/>
            <w:sz w:val="27"/>
            <w:szCs w:val="27"/>
            <w:u w:val="single"/>
            <w:bdr w:val="none" w:sz="0" w:space="0" w:color="auto" w:frame="1"/>
          </w:rPr>
          <w:t>PVA of $1</w:t>
        </w:r>
      </w:hyperlink>
      <w:r w:rsidRPr="00F37F21">
        <w:rPr>
          <w:rFonts w:ascii="Arial" w:eastAsia="Times New Roman" w:hAnsi="Arial" w:cs="Arial"/>
          <w:color w:val="252525"/>
          <w:sz w:val="27"/>
          <w:szCs w:val="27"/>
        </w:rPr>
        <w:t>)</w:t>
      </w:r>
      <w:r w:rsidRPr="00F37F21">
        <w:rPr>
          <w:rFonts w:ascii="inherit" w:eastAsia="Times New Roman" w:hAnsi="inherit" w:cs="Arial"/>
          <w:b/>
          <w:bCs/>
          <w:color w:val="FF0000"/>
          <w:sz w:val="27"/>
          <w:szCs w:val="27"/>
          <w:bdr w:val="none" w:sz="0" w:space="0" w:color="auto" w:frame="1"/>
        </w:rPr>
        <w:t> (Use appropriate factor(s) from the tables provided.)</w:t>
      </w:r>
    </w:p>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Arial" w:eastAsia="Times New Roman" w:hAnsi="Arial" w:cs="Arial"/>
          <w:color w:val="252525"/>
          <w:sz w:val="27"/>
          <w:szCs w:val="27"/>
        </w:rPr>
        <w:t> </w:t>
      </w:r>
    </w:p>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inherit" w:eastAsia="Times New Roman" w:hAnsi="inherit" w:cs="Arial"/>
          <w:b/>
          <w:bCs/>
          <w:color w:val="252525"/>
          <w:sz w:val="27"/>
          <w:szCs w:val="27"/>
          <w:bdr w:val="none" w:sz="0" w:space="0" w:color="auto" w:frame="1"/>
        </w:rPr>
        <w:t>Required</w:t>
      </w:r>
    </w:p>
    <w:p w:rsidR="00F37F21" w:rsidRPr="00F37F21" w:rsidRDefault="00F37F21" w:rsidP="00F37F21">
      <w:pPr>
        <w:numPr>
          <w:ilvl w:val="0"/>
          <w:numId w:val="2"/>
        </w:numPr>
        <w:shd w:val="clear" w:color="auto" w:fill="FFFFFF"/>
        <w:spacing w:after="0" w:line="240" w:lineRule="auto"/>
        <w:rPr>
          <w:rFonts w:ascii="inherit" w:eastAsia="Times New Roman" w:hAnsi="inherit" w:cs="Arial"/>
          <w:b/>
          <w:bCs/>
          <w:color w:val="252525"/>
          <w:sz w:val="27"/>
          <w:szCs w:val="27"/>
        </w:rPr>
      </w:pPr>
      <w:r w:rsidRPr="00F37F21">
        <w:rPr>
          <w:rFonts w:ascii="inherit" w:eastAsia="Times New Roman" w:hAnsi="inherit" w:cs="Arial"/>
          <w:color w:val="252525"/>
          <w:sz w:val="27"/>
          <w:szCs w:val="27"/>
          <w:bdr w:val="none" w:sz="0" w:space="0" w:color="auto" w:frame="1"/>
        </w:rPr>
        <w:t>Calculate the net present value of the investment opportunity. </w:t>
      </w:r>
      <w:r w:rsidRPr="00F37F21">
        <w:rPr>
          <w:rFonts w:ascii="inherit" w:eastAsia="Times New Roman" w:hAnsi="inherit" w:cs="Arial"/>
          <w:b/>
          <w:bCs/>
          <w:color w:val="FF0000"/>
          <w:sz w:val="27"/>
          <w:szCs w:val="27"/>
          <w:bdr w:val="none" w:sz="0" w:space="0" w:color="auto" w:frame="1"/>
        </w:rPr>
        <w:t>(Round your intermediate calculations and final answer to 2 decimal places.)</w:t>
      </w:r>
    </w:p>
    <w:p w:rsidR="00F37F21" w:rsidRPr="00F37F21" w:rsidRDefault="00F37F21" w:rsidP="00F37F21">
      <w:pPr>
        <w:numPr>
          <w:ilvl w:val="0"/>
          <w:numId w:val="2"/>
        </w:numPr>
        <w:shd w:val="clear" w:color="auto" w:fill="FFFFFF"/>
        <w:spacing w:after="0" w:line="240" w:lineRule="auto"/>
        <w:rPr>
          <w:rFonts w:ascii="inherit" w:eastAsia="Times New Roman" w:hAnsi="inherit" w:cs="Arial"/>
          <w:b/>
          <w:bCs/>
          <w:color w:val="252525"/>
          <w:sz w:val="27"/>
          <w:szCs w:val="27"/>
        </w:rPr>
      </w:pPr>
      <w:r w:rsidRPr="00F37F21">
        <w:rPr>
          <w:rFonts w:ascii="inherit" w:eastAsia="Times New Roman" w:hAnsi="inherit" w:cs="Arial"/>
          <w:color w:val="252525"/>
          <w:sz w:val="27"/>
          <w:szCs w:val="27"/>
          <w:bdr w:val="none" w:sz="0" w:space="0" w:color="auto" w:frame="1"/>
        </w:rPr>
        <w:t>Indicate whether the investment opportunity is expected to earn a return that is above or below the desired rate of return and whether it should be accepted.</w:t>
      </w:r>
    </w:p>
    <w:p w:rsidR="00F37F21" w:rsidRPr="00F37F21" w:rsidRDefault="00F37F21" w:rsidP="00F37F21">
      <w:pPr>
        <w:shd w:val="clear" w:color="auto" w:fill="FFFFFF"/>
        <w:spacing w:after="0" w:line="240" w:lineRule="auto"/>
        <w:rPr>
          <w:rFonts w:ascii="Arial" w:eastAsia="Times New Roman" w:hAnsi="Arial" w:cs="Arial"/>
          <w:color w:val="252525"/>
          <w:sz w:val="27"/>
          <w:szCs w:val="27"/>
        </w:rPr>
      </w:pPr>
      <w:r w:rsidRPr="00F37F21">
        <w:rPr>
          <w:rFonts w:ascii="Arial" w:eastAsia="Times New Roman" w:hAnsi="Arial" w:cs="Arial"/>
          <w:color w:val="252525"/>
          <w:sz w:val="27"/>
          <w:szCs w:val="27"/>
        </w:rPr>
        <w:t> </w:t>
      </w:r>
    </w:p>
    <w:tbl>
      <w:tblPr>
        <w:tblW w:w="0" w:type="auto"/>
        <w:tblCellSpacing w:w="0" w:type="dxa"/>
        <w:tblCellMar>
          <w:left w:w="0" w:type="dxa"/>
          <w:right w:w="0" w:type="dxa"/>
        </w:tblCellMar>
        <w:tblLook w:val="04A0" w:firstRow="1" w:lastRow="0" w:firstColumn="1" w:lastColumn="0" w:noHBand="0" w:noVBand="1"/>
      </w:tblPr>
      <w:tblGrid>
        <w:gridCol w:w="6"/>
        <w:gridCol w:w="9092"/>
      </w:tblGrid>
      <w:tr w:rsidR="00F37F21" w:rsidRPr="00F37F21" w:rsidTr="00F37F21">
        <w:trPr>
          <w:gridAfter w:val="1"/>
          <w:wAfter w:w="7080"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c>
          <w:tcPr>
            <w:tcW w:w="7080" w:type="dxa"/>
            <w:tcBorders>
              <w:top w:val="nil"/>
              <w:left w:val="nil"/>
              <w:bottom w:val="nil"/>
              <w:right w:val="nil"/>
            </w:tcBorders>
            <w:hideMark/>
          </w:tcPr>
          <w:tbl>
            <w:tblPr>
              <w:tblW w:w="9081"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343"/>
              <w:gridCol w:w="6270"/>
              <w:gridCol w:w="2468"/>
            </w:tblGrid>
            <w:tr w:rsidR="00F37F21" w:rsidRPr="00F37F21" w:rsidTr="00F37F21">
              <w:trPr>
                <w:trHeight w:val="345"/>
                <w:tblCellSpacing w:w="0" w:type="dxa"/>
              </w:trPr>
              <w:tc>
                <w:tcPr>
                  <w:tcW w:w="9081" w:type="dxa"/>
                  <w:gridSpan w:val="3"/>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r>
            <w:tr w:rsidR="00F37F21" w:rsidRPr="00F37F21" w:rsidTr="00F37F21">
              <w:trPr>
                <w:trHeight w:val="39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a.</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Net present value</w:t>
                  </w:r>
                </w:p>
              </w:tc>
              <w:tc>
                <w:tcPr>
                  <w:tcW w:w="223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sidRPr="00465C1B">
                    <w:rPr>
                      <w:rFonts w:ascii="Arial" w:eastAsia="Times New Roman" w:hAnsi="Arial" w:cs="Arial"/>
                      <w:color w:val="222222"/>
                      <w:sz w:val="24"/>
                      <w:szCs w:val="24"/>
                    </w:rPr>
                    <w:t>$19,097.28</w:t>
                  </w:r>
                  <w:r>
                    <w:rPr>
                      <w:rFonts w:ascii="Arial" w:eastAsia="Times New Roman" w:hAnsi="Arial" w:cs="Arial"/>
                      <w:color w:val="222222"/>
                      <w:sz w:val="24"/>
                      <w:szCs w:val="24"/>
                    </w:rPr>
                    <w:t xml:space="preserve"> </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b.</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Will the return be above or below the cost of capital?</w:t>
                  </w:r>
                </w:p>
              </w:tc>
              <w:tc>
                <w:tcPr>
                  <w:tcW w:w="223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Above </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c</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Should the investment opportunity be accepted?</w:t>
                  </w:r>
                </w:p>
              </w:tc>
              <w:tc>
                <w:tcPr>
                  <w:tcW w:w="2238"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Accepted </w:t>
                  </w:r>
                </w:p>
              </w:tc>
            </w:tr>
          </w:tbl>
          <w:p w:rsidR="00F37F21" w:rsidRPr="00F37F21" w:rsidRDefault="00F37F21" w:rsidP="00F37F21">
            <w:pPr>
              <w:spacing w:after="0" w:line="240" w:lineRule="auto"/>
              <w:rPr>
                <w:rFonts w:ascii="Verdana" w:eastAsia="Times New Roman" w:hAnsi="Verdana" w:cs="Times New Roman"/>
                <w:color w:val="000000"/>
                <w:sz w:val="20"/>
                <w:szCs w:val="20"/>
              </w:rPr>
            </w:pPr>
          </w:p>
        </w:tc>
      </w:tr>
    </w:tbl>
    <w:p w:rsidR="00563EAE" w:rsidRDefault="00F37F21">
      <w:r>
        <w:t>B. Choices: Above or Below</w:t>
      </w:r>
    </w:p>
    <w:p w:rsidR="00F37F21" w:rsidRDefault="00F37F21">
      <w:r>
        <w:t>C. Choices: Accepted or Rejected</w:t>
      </w:r>
    </w:p>
    <w:p w:rsidR="00F37F21" w:rsidRDefault="00F37F21" w:rsidP="00F37F21">
      <w:pPr>
        <w:pStyle w:val="Heading2"/>
        <w:shd w:val="clear" w:color="auto" w:fill="FFFFFF"/>
        <w:spacing w:before="0" w:beforeAutospacing="0" w:after="450" w:afterAutospacing="0"/>
        <w:rPr>
          <w:rFonts w:ascii="Arial" w:hAnsi="Arial" w:cs="Arial"/>
          <w:color w:val="252525"/>
          <w:sz w:val="30"/>
          <w:szCs w:val="30"/>
        </w:rPr>
      </w:pPr>
      <w:r>
        <w:t>3.</w:t>
      </w:r>
      <w:r w:rsidRPr="00F37F21">
        <w:rPr>
          <w:rFonts w:ascii="Arial" w:hAnsi="Arial" w:cs="Arial"/>
          <w:color w:val="252525"/>
          <w:sz w:val="30"/>
          <w:szCs w:val="30"/>
        </w:rPr>
        <w:t xml:space="preserve"> </w:t>
      </w:r>
      <w:r>
        <w:rPr>
          <w:rFonts w:ascii="Arial" w:hAnsi="Arial" w:cs="Arial"/>
          <w:color w:val="252525"/>
          <w:sz w:val="30"/>
          <w:szCs w:val="30"/>
        </w:rPr>
        <w:t>Exercise 16-8 Determining the cash flow annuity with income tax considerations LO 16-2</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To open a new store, Enid Tire Company plans to invest $320,000 in equipment expected to have a four-year useful life and no salvage value. Enid expects the new store to generate annual cash revenues of $400,000 and to incur annual cash operating expenses of $240,000. Enid’s average income tax rate is 30 percent. The company uses straight-line depreciation.</w:t>
      </w:r>
    </w:p>
    <w:p w:rsidR="00F37F21" w:rsidRDefault="00F37F21" w:rsidP="00465C1B">
      <w:pPr>
        <w:pStyle w:val="NormalWeb"/>
        <w:shd w:val="clear" w:color="auto" w:fill="FFFFFF"/>
        <w:tabs>
          <w:tab w:val="left" w:pos="3975"/>
        </w:tabs>
        <w:spacing w:before="0" w:beforeAutospacing="0" w:after="0" w:afterAutospacing="0"/>
        <w:rPr>
          <w:rFonts w:ascii="Arial" w:hAnsi="Arial" w:cs="Arial"/>
          <w:color w:val="252525"/>
          <w:sz w:val="27"/>
          <w:szCs w:val="27"/>
        </w:rPr>
      </w:pPr>
      <w:r>
        <w:rPr>
          <w:rFonts w:ascii="Arial" w:hAnsi="Arial" w:cs="Arial"/>
          <w:color w:val="252525"/>
          <w:sz w:val="27"/>
          <w:szCs w:val="27"/>
        </w:rPr>
        <w:lastRenderedPageBreak/>
        <w:t> </w:t>
      </w:r>
      <w:r w:rsidR="00465C1B">
        <w:rPr>
          <w:rFonts w:ascii="Arial" w:hAnsi="Arial" w:cs="Arial"/>
          <w:color w:val="252525"/>
          <w:sz w:val="27"/>
          <w:szCs w:val="27"/>
        </w:rPr>
        <w:tab/>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Style w:val="Strong"/>
          <w:rFonts w:ascii="inherit" w:hAnsi="inherit" w:cs="Arial"/>
          <w:color w:val="252525"/>
          <w:sz w:val="27"/>
          <w:szCs w:val="27"/>
          <w:bdr w:val="none" w:sz="0" w:space="0" w:color="auto" w:frame="1"/>
        </w:rPr>
        <w:t>Required</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Determine the expected annual net cash flows from operations for each of the first four years after Enid opens the new store. </w:t>
      </w:r>
      <w:r>
        <w:rPr>
          <w:rStyle w:val="Strong"/>
          <w:rFonts w:ascii="inherit" w:hAnsi="inherit" w:cs="Arial"/>
          <w:color w:val="FF0000"/>
          <w:sz w:val="27"/>
          <w:szCs w:val="27"/>
          <w:bdr w:val="none" w:sz="0" w:space="0" w:color="auto" w:frame="1"/>
        </w:rPr>
        <w:t>(Negative amounts should be indicated by a minus sign.)</w:t>
      </w:r>
    </w:p>
    <w:tbl>
      <w:tblPr>
        <w:tblW w:w="0" w:type="auto"/>
        <w:tblCellSpacing w:w="0" w:type="dxa"/>
        <w:tblCellMar>
          <w:left w:w="0" w:type="dxa"/>
          <w:right w:w="0" w:type="dxa"/>
        </w:tblCellMar>
        <w:tblLook w:val="04A0" w:firstRow="1" w:lastRow="0" w:firstColumn="1" w:lastColumn="0" w:noHBand="0" w:noVBand="1"/>
      </w:tblPr>
      <w:tblGrid>
        <w:gridCol w:w="6"/>
        <w:gridCol w:w="4395"/>
      </w:tblGrid>
      <w:tr w:rsidR="00F37F21" w:rsidRPr="00F37F21" w:rsidTr="00F37F21">
        <w:trPr>
          <w:gridAfter w:val="1"/>
          <w:wAfter w:w="4395"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Times New Roman" w:eastAsia="Times New Roman" w:hAnsi="Times New Roman" w:cs="Times New Roman"/>
                <w:sz w:val="24"/>
                <w:szCs w:val="24"/>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Times New Roman" w:eastAsia="Times New Roman" w:hAnsi="Times New Roman" w:cs="Times New Roman"/>
                <w:sz w:val="24"/>
                <w:szCs w:val="24"/>
              </w:rPr>
            </w:pPr>
          </w:p>
        </w:tc>
        <w:tc>
          <w:tcPr>
            <w:tcW w:w="4395" w:type="dxa"/>
            <w:tcBorders>
              <w:top w:val="nil"/>
              <w:left w:val="nil"/>
              <w:bottom w:val="nil"/>
              <w:right w:val="nil"/>
            </w:tcBorders>
            <w:hideMark/>
          </w:tcPr>
          <w:tbl>
            <w:tblPr>
              <w:tblW w:w="4290"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899"/>
              <w:gridCol w:w="1308"/>
              <w:gridCol w:w="2083"/>
            </w:tblGrid>
            <w:tr w:rsidR="00F37F21" w:rsidRPr="00F37F21" w:rsidTr="00F37F21">
              <w:trPr>
                <w:trHeight w:val="37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jc w:val="center"/>
                    <w:rPr>
                      <w:rFonts w:ascii="Arial" w:eastAsia="Times New Roman" w:hAnsi="Arial" w:cs="Arial"/>
                      <w:b/>
                      <w:bCs/>
                      <w:color w:val="222222"/>
                      <w:sz w:val="24"/>
                      <w:szCs w:val="24"/>
                    </w:rPr>
                  </w:pPr>
                  <w:r w:rsidRPr="00F37F21">
                    <w:rPr>
                      <w:rFonts w:ascii="Arial" w:eastAsia="Times New Roman" w:hAnsi="Arial" w:cs="Arial"/>
                      <w:b/>
                      <w:bCs/>
                      <w:color w:val="222222"/>
                      <w:sz w:val="24"/>
                      <w:szCs w:val="24"/>
                    </w:rPr>
                    <w:t>Net Cash</w:t>
                  </w:r>
                </w:p>
              </w:tc>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jc w:val="center"/>
                    <w:rPr>
                      <w:rFonts w:ascii="Arial" w:eastAsia="Times New Roman" w:hAnsi="Arial" w:cs="Arial"/>
                      <w:b/>
                      <w:bCs/>
                      <w:color w:val="222222"/>
                      <w:sz w:val="24"/>
                      <w:szCs w:val="24"/>
                    </w:rPr>
                  </w:pPr>
                  <w:r w:rsidRPr="00F37F21">
                    <w:rPr>
                      <w:rFonts w:ascii="Arial" w:eastAsia="Times New Roman" w:hAnsi="Arial" w:cs="Arial"/>
                      <w:b/>
                      <w:bCs/>
                      <w:color w:val="222222"/>
                      <w:sz w:val="24"/>
                      <w:szCs w:val="24"/>
                    </w:rPr>
                    <w:t>Inflow / Outflow</w:t>
                  </w:r>
                </w:p>
              </w:tc>
            </w:tr>
            <w:tr w:rsidR="00F37F21" w:rsidRPr="00F37F21" w:rsidTr="00F37F21">
              <w:trPr>
                <w:trHeight w:val="36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 1</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-$184,000</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Outflow </w:t>
                  </w:r>
                </w:p>
              </w:tc>
            </w:tr>
            <w:tr w:rsidR="00F37F21" w:rsidRPr="00F37F21" w:rsidTr="00F37F21">
              <w:trPr>
                <w:trHeight w:val="36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 2</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$ 136,000</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Inflow </w:t>
                  </w:r>
                </w:p>
              </w:tc>
            </w:tr>
            <w:tr w:rsidR="00F37F21" w:rsidRPr="00F37F21" w:rsidTr="00F37F21">
              <w:trPr>
                <w:trHeight w:val="36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 3</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$ 136,000</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Inflow </w:t>
                  </w:r>
                </w:p>
              </w:tc>
            </w:tr>
            <w:tr w:rsidR="00F37F21" w:rsidRPr="00F37F21" w:rsidTr="00F37F21">
              <w:trPr>
                <w:trHeight w:val="36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0"/>
                      <w:szCs w:val="20"/>
                    </w:rPr>
                  </w:pPr>
                  <w:r w:rsidRPr="00F37F21">
                    <w:rPr>
                      <w:rFonts w:ascii="Arial" w:eastAsia="Times New Roman" w:hAnsi="Arial" w:cs="Arial"/>
                      <w:color w:val="222222"/>
                      <w:sz w:val="20"/>
                      <w:szCs w:val="20"/>
                    </w:rPr>
                    <w:t>Year 4</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465C1B" w:rsidP="00F37F21">
                  <w:pPr>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$ 136,000</w:t>
                  </w:r>
                </w:p>
              </w:tc>
              <w:tc>
                <w:tcPr>
                  <w:tcW w:w="0" w:type="auto"/>
                  <w:shd w:val="clear" w:color="auto" w:fill="auto"/>
                  <w:vAlign w:val="center"/>
                  <w:hideMark/>
                </w:tcPr>
                <w:p w:rsidR="00F37F21" w:rsidRPr="00F37F21" w:rsidRDefault="00465C1B" w:rsidP="00F37F2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inflow </w:t>
                  </w:r>
                </w:p>
              </w:tc>
            </w:tr>
          </w:tbl>
          <w:p w:rsidR="00F37F21" w:rsidRPr="00F37F21" w:rsidRDefault="00F37F21" w:rsidP="00F37F21">
            <w:pPr>
              <w:spacing w:after="0" w:line="240" w:lineRule="auto"/>
              <w:rPr>
                <w:rFonts w:ascii="Times New Roman" w:eastAsia="Times New Roman" w:hAnsi="Times New Roman" w:cs="Times New Roman"/>
                <w:sz w:val="24"/>
                <w:szCs w:val="24"/>
              </w:rPr>
            </w:pPr>
          </w:p>
        </w:tc>
      </w:tr>
    </w:tbl>
    <w:p w:rsidR="00F37F21" w:rsidRDefault="00F37F21">
      <w:r>
        <w:tab/>
      </w:r>
      <w:r>
        <w:tab/>
      </w:r>
      <w:r>
        <w:tab/>
        <w:t xml:space="preserve"> Choices: Inflow or Outflow</w:t>
      </w:r>
    </w:p>
    <w:p w:rsidR="00F37F21" w:rsidRDefault="00F37F21" w:rsidP="00F37F21">
      <w:pPr>
        <w:pStyle w:val="Heading2"/>
        <w:shd w:val="clear" w:color="auto" w:fill="FFFFFF"/>
        <w:spacing w:before="0" w:beforeAutospacing="0" w:after="450" w:afterAutospacing="0"/>
        <w:rPr>
          <w:rFonts w:ascii="Arial" w:hAnsi="Arial" w:cs="Arial"/>
          <w:color w:val="252525"/>
          <w:sz w:val="30"/>
          <w:szCs w:val="30"/>
        </w:rPr>
      </w:pPr>
      <w:r>
        <w:t>4.</w:t>
      </w:r>
      <w:r w:rsidRPr="00F37F21">
        <w:rPr>
          <w:rFonts w:ascii="Arial" w:hAnsi="Arial" w:cs="Arial"/>
          <w:color w:val="252525"/>
          <w:sz w:val="30"/>
          <w:szCs w:val="30"/>
        </w:rPr>
        <w:t xml:space="preserve"> </w:t>
      </w:r>
      <w:r>
        <w:rPr>
          <w:rFonts w:ascii="Arial" w:hAnsi="Arial" w:cs="Arial"/>
          <w:color w:val="252525"/>
          <w:sz w:val="30"/>
          <w:szCs w:val="30"/>
        </w:rPr>
        <w:t xml:space="preserve">Exercise 16-10 </w:t>
      </w:r>
      <w:proofErr w:type="gramStart"/>
      <w:r>
        <w:rPr>
          <w:rFonts w:ascii="Arial" w:hAnsi="Arial" w:cs="Arial"/>
          <w:color w:val="252525"/>
          <w:sz w:val="30"/>
          <w:szCs w:val="30"/>
        </w:rPr>
        <w:t>Using</w:t>
      </w:r>
      <w:proofErr w:type="gramEnd"/>
      <w:r>
        <w:rPr>
          <w:rFonts w:ascii="Arial" w:hAnsi="Arial" w:cs="Arial"/>
          <w:color w:val="252525"/>
          <w:sz w:val="30"/>
          <w:szCs w:val="30"/>
        </w:rPr>
        <w:t xml:space="preserve"> the internal rate of return to compare investment opportunities LO 16-3</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Velma and Keota (V&amp;K) is a partnership that owns a small company. It is considering two alternative investment opportunities. The first investment opportunity will have a five-year useful life, will cost $19,680.96, and will generate expected cash inflows of $4,800 per year. The second investment is expected to have a useful life of three years, will cost $12,885.48, and will generate expected cash inflows of $5,000 per year. Assume that V&amp;K has the funds available to accept only one of the opportunities. (</w:t>
      </w:r>
      <w:hyperlink r:id="rId9" w:tgtFrame="_blank" w:history="1">
        <w:r>
          <w:rPr>
            <w:rStyle w:val="Hyperlink"/>
            <w:rFonts w:ascii="Arial" w:hAnsi="Arial" w:cs="Arial"/>
            <w:color w:val="3975B9"/>
            <w:sz w:val="27"/>
            <w:szCs w:val="27"/>
            <w:bdr w:val="none" w:sz="0" w:space="0" w:color="auto" w:frame="1"/>
          </w:rPr>
          <w:t>PV of $1</w:t>
        </w:r>
      </w:hyperlink>
      <w:r>
        <w:rPr>
          <w:rFonts w:ascii="Arial" w:hAnsi="Arial" w:cs="Arial"/>
          <w:color w:val="252525"/>
          <w:sz w:val="27"/>
          <w:szCs w:val="27"/>
        </w:rPr>
        <w:t> and </w:t>
      </w:r>
      <w:hyperlink r:id="rId10" w:tgtFrame="_blank" w:history="1">
        <w:r>
          <w:rPr>
            <w:rStyle w:val="Hyperlink"/>
            <w:rFonts w:ascii="Arial" w:hAnsi="Arial" w:cs="Arial"/>
            <w:color w:val="3975B9"/>
            <w:sz w:val="27"/>
            <w:szCs w:val="27"/>
            <w:bdr w:val="none" w:sz="0" w:space="0" w:color="auto" w:frame="1"/>
          </w:rPr>
          <w:t>PVA of $1</w:t>
        </w:r>
      </w:hyperlink>
      <w:r>
        <w:rPr>
          <w:rFonts w:ascii="Arial" w:hAnsi="Arial" w:cs="Arial"/>
          <w:color w:val="252525"/>
          <w:sz w:val="27"/>
          <w:szCs w:val="27"/>
        </w:rPr>
        <w:t>) </w:t>
      </w:r>
      <w:r>
        <w:rPr>
          <w:rFonts w:ascii="inherit" w:hAnsi="inherit" w:cs="Arial"/>
          <w:b/>
          <w:bCs/>
          <w:color w:val="FF0000"/>
          <w:sz w:val="27"/>
          <w:szCs w:val="27"/>
          <w:bdr w:val="none" w:sz="0" w:space="0" w:color="auto" w:frame="1"/>
        </w:rPr>
        <w:t>(Use appropriate factor(s) from the tables provided.)</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 </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Style w:val="Strong"/>
          <w:rFonts w:ascii="inherit" w:hAnsi="inherit" w:cs="Arial"/>
          <w:color w:val="252525"/>
          <w:sz w:val="27"/>
          <w:szCs w:val="27"/>
          <w:bdr w:val="none" w:sz="0" w:space="0" w:color="auto" w:frame="1"/>
        </w:rPr>
        <w:t>Required</w:t>
      </w:r>
    </w:p>
    <w:p w:rsidR="00F37F21" w:rsidRDefault="00F37F21" w:rsidP="00F37F21">
      <w:pPr>
        <w:pStyle w:val="NormalWeb"/>
        <w:numPr>
          <w:ilvl w:val="0"/>
          <w:numId w:val="3"/>
        </w:numPr>
        <w:shd w:val="clear" w:color="auto" w:fill="FFFFFF"/>
        <w:spacing w:before="0" w:beforeAutospacing="0" w:after="0" w:afterAutospacing="0"/>
        <w:rPr>
          <w:rFonts w:ascii="inherit" w:hAnsi="inherit" w:cs="Arial"/>
          <w:b/>
          <w:bCs/>
          <w:color w:val="252525"/>
          <w:sz w:val="27"/>
          <w:szCs w:val="27"/>
        </w:rPr>
      </w:pPr>
      <w:r>
        <w:rPr>
          <w:rFonts w:ascii="inherit" w:hAnsi="inherit" w:cs="Arial"/>
          <w:color w:val="252525"/>
          <w:sz w:val="27"/>
          <w:szCs w:val="27"/>
          <w:bdr w:val="none" w:sz="0" w:space="0" w:color="auto" w:frame="1"/>
        </w:rPr>
        <w:t>Calculate the internal rate of return of each investment opportunity. </w:t>
      </w:r>
      <w:r>
        <w:rPr>
          <w:rStyle w:val="Strong"/>
          <w:rFonts w:ascii="inherit" w:hAnsi="inherit" w:cs="Arial"/>
          <w:color w:val="FF0000"/>
          <w:sz w:val="27"/>
          <w:szCs w:val="27"/>
          <w:bdr w:val="none" w:sz="0" w:space="0" w:color="auto" w:frame="1"/>
        </w:rPr>
        <w:t>(Do not round intermediate calculations.)</w:t>
      </w:r>
    </w:p>
    <w:p w:rsidR="00F37F21" w:rsidRDefault="00F37F21" w:rsidP="00F37F21">
      <w:pPr>
        <w:pStyle w:val="NormalWeb"/>
        <w:numPr>
          <w:ilvl w:val="0"/>
          <w:numId w:val="3"/>
        </w:numPr>
        <w:shd w:val="clear" w:color="auto" w:fill="FFFFFF"/>
        <w:spacing w:before="0" w:beforeAutospacing="0" w:after="0" w:afterAutospacing="0"/>
        <w:rPr>
          <w:rFonts w:ascii="inherit" w:hAnsi="inherit" w:cs="Arial"/>
          <w:b/>
          <w:bCs/>
          <w:color w:val="252525"/>
          <w:sz w:val="27"/>
          <w:szCs w:val="27"/>
        </w:rPr>
      </w:pPr>
      <w:r>
        <w:rPr>
          <w:rFonts w:ascii="inherit" w:hAnsi="inherit" w:cs="Arial"/>
          <w:color w:val="252525"/>
          <w:sz w:val="27"/>
          <w:szCs w:val="27"/>
          <w:bdr w:val="none" w:sz="0" w:space="0" w:color="auto" w:frame="1"/>
        </w:rPr>
        <w:t>Based on the internal rates of return, which opportunity should V&amp;K select?</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 </w:t>
      </w:r>
    </w:p>
    <w:tbl>
      <w:tblPr>
        <w:tblW w:w="0" w:type="auto"/>
        <w:tblCellSpacing w:w="0" w:type="dxa"/>
        <w:tblCellMar>
          <w:left w:w="0" w:type="dxa"/>
          <w:right w:w="0" w:type="dxa"/>
        </w:tblCellMar>
        <w:tblLook w:val="04A0" w:firstRow="1" w:lastRow="0" w:firstColumn="1" w:lastColumn="0" w:noHBand="0" w:noVBand="1"/>
      </w:tblPr>
      <w:tblGrid>
        <w:gridCol w:w="6"/>
        <w:gridCol w:w="5055"/>
      </w:tblGrid>
      <w:tr w:rsidR="00F37F21" w:rsidRPr="00F37F21" w:rsidTr="00F37F21">
        <w:trPr>
          <w:gridAfter w:val="1"/>
          <w:wAfter w:w="5055"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Times New Roman" w:eastAsia="Times New Roman" w:hAnsi="Times New Roman" w:cs="Times New Roman"/>
                <w:sz w:val="24"/>
                <w:szCs w:val="24"/>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Times New Roman" w:eastAsia="Times New Roman" w:hAnsi="Times New Roman" w:cs="Times New Roman"/>
                <w:sz w:val="24"/>
                <w:szCs w:val="24"/>
              </w:rPr>
            </w:pPr>
          </w:p>
        </w:tc>
        <w:tc>
          <w:tcPr>
            <w:tcW w:w="5055" w:type="dxa"/>
            <w:tcBorders>
              <w:top w:val="nil"/>
              <w:left w:val="nil"/>
              <w:bottom w:val="nil"/>
              <w:right w:val="nil"/>
            </w:tcBorders>
            <w:hideMark/>
          </w:tcPr>
          <w:tbl>
            <w:tblPr>
              <w:tblW w:w="4950"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311"/>
              <w:gridCol w:w="2068"/>
              <w:gridCol w:w="1962"/>
              <w:gridCol w:w="609"/>
            </w:tblGrid>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gridSpan w:val="2"/>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jc w:val="center"/>
                    <w:rPr>
                      <w:rFonts w:ascii="Arial" w:eastAsia="Times New Roman" w:hAnsi="Arial" w:cs="Arial"/>
                      <w:b/>
                      <w:bCs/>
                      <w:color w:val="222222"/>
                      <w:sz w:val="24"/>
                      <w:szCs w:val="24"/>
                    </w:rPr>
                  </w:pPr>
                  <w:r w:rsidRPr="00F37F21">
                    <w:rPr>
                      <w:rFonts w:ascii="Arial" w:eastAsia="Times New Roman" w:hAnsi="Arial" w:cs="Arial"/>
                      <w:b/>
                      <w:bCs/>
                      <w:color w:val="222222"/>
                      <w:sz w:val="24"/>
                      <w:szCs w:val="24"/>
                    </w:rPr>
                    <w:t>Internal Rate of Return</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lastRenderedPageBreak/>
                    <w:t>a.</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First investment</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sidRPr="00EF4334">
                    <w:rPr>
                      <w:rFonts w:ascii="Arial" w:eastAsia="Times New Roman" w:hAnsi="Arial" w:cs="Arial"/>
                      <w:color w:val="222222"/>
                      <w:sz w:val="24"/>
                      <w:szCs w:val="24"/>
                    </w:rPr>
                    <w:t>4.1002</w:t>
                  </w:r>
                  <w:r>
                    <w:rPr>
                      <w:rFonts w:ascii="Arial" w:eastAsia="Times New Roman" w:hAnsi="Arial" w:cs="Arial"/>
                      <w:color w:val="222222"/>
                      <w:sz w:val="24"/>
                      <w:szCs w:val="24"/>
                    </w:rPr>
                    <w:t xml:space="preserve"> </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Second investment</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sidRPr="00EF4334">
                    <w:rPr>
                      <w:rFonts w:ascii="Arial" w:eastAsia="Times New Roman" w:hAnsi="Arial" w:cs="Arial"/>
                      <w:color w:val="222222"/>
                      <w:sz w:val="24"/>
                      <w:szCs w:val="24"/>
                    </w:rPr>
                    <w:t>2.57710</w:t>
                  </w:r>
                  <w:r>
                    <w:rPr>
                      <w:rFonts w:ascii="Arial" w:eastAsia="Times New Roman" w:hAnsi="Arial" w:cs="Arial"/>
                      <w:color w:val="222222"/>
                      <w:sz w:val="24"/>
                      <w:szCs w:val="24"/>
                    </w:rPr>
                    <w:t xml:space="preserve"> </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0"/>
                      <w:szCs w:val="20"/>
                    </w:rPr>
                  </w:pPr>
                  <w:r w:rsidRPr="00F37F21">
                    <w:rPr>
                      <w:rFonts w:ascii="Arial" w:eastAsia="Times New Roman" w:hAnsi="Arial" w:cs="Arial"/>
                      <w:color w:val="222222"/>
                      <w:sz w:val="20"/>
                      <w:szCs w:val="20"/>
                    </w:rPr>
                    <w:t>b.</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0"/>
                      <w:szCs w:val="20"/>
                    </w:rPr>
                  </w:pPr>
                  <w:r w:rsidRPr="00F37F21">
                    <w:rPr>
                      <w:rFonts w:ascii="Arial" w:eastAsia="Times New Roman" w:hAnsi="Arial" w:cs="Arial"/>
                      <w:color w:val="222222"/>
                      <w:sz w:val="20"/>
                      <w:szCs w:val="20"/>
                    </w:rPr>
                    <w:t>V&amp;K should select the</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0" w:type="dxa"/>
                    <w:left w:w="45" w:type="dxa"/>
                    <w:bottom w:w="0" w:type="dxa"/>
                    <w:right w:w="300" w:type="dxa"/>
                  </w:tcMar>
                  <w:vAlign w:val="center"/>
                  <w:hideMark/>
                </w:tcPr>
                <w:p w:rsidR="00F37F21" w:rsidRPr="00F37F21" w:rsidRDefault="00EF4334" w:rsidP="00F37F21">
                  <w:pPr>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 xml:space="preserve">Second </w:t>
                  </w:r>
                </w:p>
              </w:tc>
              <w:tc>
                <w:tcPr>
                  <w:tcW w:w="0" w:type="auto"/>
                  <w:shd w:val="clear" w:color="auto" w:fill="auto"/>
                  <w:vAlign w:val="center"/>
                  <w:hideMark/>
                </w:tcPr>
                <w:p w:rsidR="00F37F21" w:rsidRPr="00F37F21" w:rsidRDefault="00F37F21" w:rsidP="00F37F21">
                  <w:pPr>
                    <w:spacing w:after="0" w:line="240" w:lineRule="auto"/>
                    <w:rPr>
                      <w:rFonts w:ascii="Times New Roman" w:eastAsia="Times New Roman" w:hAnsi="Times New Roman" w:cs="Times New Roman"/>
                      <w:sz w:val="20"/>
                      <w:szCs w:val="20"/>
                    </w:rPr>
                  </w:pPr>
                </w:p>
              </w:tc>
            </w:tr>
          </w:tbl>
          <w:p w:rsidR="00F37F21" w:rsidRPr="00F37F21" w:rsidRDefault="00F37F21" w:rsidP="00F37F21">
            <w:pPr>
              <w:spacing w:after="0" w:line="240" w:lineRule="auto"/>
              <w:rPr>
                <w:rFonts w:ascii="Times New Roman" w:eastAsia="Times New Roman" w:hAnsi="Times New Roman" w:cs="Times New Roman"/>
                <w:sz w:val="24"/>
                <w:szCs w:val="24"/>
              </w:rPr>
            </w:pPr>
          </w:p>
        </w:tc>
      </w:tr>
    </w:tbl>
    <w:p w:rsidR="00F37F21" w:rsidRDefault="00F37F21">
      <w:r>
        <w:lastRenderedPageBreak/>
        <w:t>B Choices: First investment or second investment</w:t>
      </w:r>
    </w:p>
    <w:p w:rsidR="00F37F21" w:rsidRDefault="00F37F21" w:rsidP="00F37F21">
      <w:pPr>
        <w:pStyle w:val="Heading2"/>
        <w:shd w:val="clear" w:color="auto" w:fill="FFFFFF"/>
        <w:spacing w:before="0" w:beforeAutospacing="0" w:after="450" w:afterAutospacing="0"/>
        <w:rPr>
          <w:rFonts w:ascii="Arial" w:hAnsi="Arial" w:cs="Arial"/>
          <w:color w:val="252525"/>
          <w:sz w:val="30"/>
          <w:szCs w:val="30"/>
        </w:rPr>
      </w:pPr>
      <w:r>
        <w:t>5.</w:t>
      </w:r>
      <w:r w:rsidRPr="00F37F21">
        <w:rPr>
          <w:rFonts w:ascii="Arial" w:hAnsi="Arial" w:cs="Arial"/>
          <w:color w:val="252525"/>
          <w:sz w:val="30"/>
          <w:szCs w:val="30"/>
        </w:rPr>
        <w:t xml:space="preserve"> </w:t>
      </w:r>
      <w:r>
        <w:rPr>
          <w:rFonts w:ascii="Arial" w:hAnsi="Arial" w:cs="Arial"/>
          <w:color w:val="252525"/>
          <w:sz w:val="30"/>
          <w:szCs w:val="30"/>
        </w:rPr>
        <w:t>Exercise 16-12 Determining the payback period LO 16-4</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North Airline Company is considering expanding its territory. The company has the opportunity to purchase one of two different used airplanes. The first airplane is expected to cost $12,000,000; it will enable the company to increase its annual cash inflow by $4,000,000 per year. The plane is expected to have a useful life of five years and no salvage value. The second plane costs $24,000,000; it will enable the company to increase annual cash flow by $6,000,000 per year. This plane has an eight-year useful life and a zero salvage value.</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 </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Style w:val="Strong"/>
          <w:rFonts w:ascii="inherit" w:hAnsi="inherit" w:cs="Arial"/>
          <w:color w:val="252525"/>
          <w:sz w:val="27"/>
          <w:szCs w:val="27"/>
          <w:bdr w:val="none" w:sz="0" w:space="0" w:color="auto" w:frame="1"/>
        </w:rPr>
        <w:t>Required</w:t>
      </w:r>
    </w:p>
    <w:p w:rsidR="00F37F21" w:rsidRDefault="00F37F21" w:rsidP="00F37F21">
      <w:pPr>
        <w:pStyle w:val="NormalWeb"/>
        <w:numPr>
          <w:ilvl w:val="0"/>
          <w:numId w:val="4"/>
        </w:numPr>
        <w:shd w:val="clear" w:color="auto" w:fill="FFFFFF"/>
        <w:spacing w:before="0" w:beforeAutospacing="0" w:after="0" w:afterAutospacing="0"/>
        <w:rPr>
          <w:rFonts w:ascii="inherit" w:hAnsi="inherit" w:cs="Arial"/>
          <w:b/>
          <w:bCs/>
          <w:color w:val="252525"/>
          <w:sz w:val="27"/>
          <w:szCs w:val="27"/>
        </w:rPr>
      </w:pPr>
      <w:r>
        <w:rPr>
          <w:rFonts w:ascii="inherit" w:hAnsi="inherit" w:cs="Arial"/>
          <w:color w:val="252525"/>
          <w:sz w:val="27"/>
          <w:szCs w:val="27"/>
          <w:bdr w:val="none" w:sz="0" w:space="0" w:color="auto" w:frame="1"/>
        </w:rPr>
        <w:t>Determine the payback period for each investment alternative and identify the alternative North should accept if the decision is based on the payback approach.</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 </w:t>
      </w:r>
    </w:p>
    <w:tbl>
      <w:tblPr>
        <w:tblW w:w="0" w:type="auto"/>
        <w:tblCellSpacing w:w="0" w:type="dxa"/>
        <w:tblCellMar>
          <w:left w:w="0" w:type="dxa"/>
          <w:right w:w="0" w:type="dxa"/>
        </w:tblCellMar>
        <w:tblLook w:val="04A0" w:firstRow="1" w:lastRow="0" w:firstColumn="1" w:lastColumn="0" w:noHBand="0" w:noVBand="1"/>
      </w:tblPr>
      <w:tblGrid>
        <w:gridCol w:w="6"/>
        <w:gridCol w:w="5145"/>
      </w:tblGrid>
      <w:tr w:rsidR="00F37F21" w:rsidRPr="00F37F21" w:rsidTr="00F37F21">
        <w:trPr>
          <w:gridAfter w:val="1"/>
          <w:wAfter w:w="5145"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c>
          <w:tcPr>
            <w:tcW w:w="5145" w:type="dxa"/>
            <w:tcBorders>
              <w:top w:val="nil"/>
              <w:left w:val="nil"/>
              <w:bottom w:val="nil"/>
              <w:right w:val="nil"/>
            </w:tcBorders>
            <w:hideMark/>
          </w:tcPr>
          <w:tbl>
            <w:tblPr>
              <w:tblW w:w="5040"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474"/>
              <w:gridCol w:w="2668"/>
              <w:gridCol w:w="718"/>
              <w:gridCol w:w="1180"/>
            </w:tblGrid>
            <w:tr w:rsidR="00F37F21" w:rsidRPr="00F37F21" w:rsidTr="00F37F21">
              <w:trPr>
                <w:trHeight w:val="39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gridSpan w:val="2"/>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jc w:val="center"/>
                    <w:rPr>
                      <w:rFonts w:ascii="Arial" w:eastAsia="Times New Roman" w:hAnsi="Arial" w:cs="Arial"/>
                      <w:b/>
                      <w:bCs/>
                      <w:color w:val="222222"/>
                      <w:sz w:val="24"/>
                      <w:szCs w:val="24"/>
                    </w:rPr>
                  </w:pPr>
                  <w:r w:rsidRPr="00F37F21">
                    <w:rPr>
                      <w:rFonts w:ascii="Arial" w:eastAsia="Times New Roman" w:hAnsi="Arial" w:cs="Arial"/>
                      <w:b/>
                      <w:bCs/>
                      <w:color w:val="222222"/>
                      <w:sz w:val="24"/>
                      <w:szCs w:val="24"/>
                    </w:rPr>
                    <w:t>Payback Period</w:t>
                  </w:r>
                </w:p>
              </w:tc>
            </w:tr>
            <w:tr w:rsidR="00F37F21" w:rsidRPr="00F37F21" w:rsidTr="00F37F21">
              <w:trPr>
                <w:trHeight w:val="37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roofErr w:type="gramStart"/>
                  <w:r w:rsidRPr="00F37F21">
                    <w:rPr>
                      <w:rFonts w:ascii="Arial" w:eastAsia="Times New Roman" w:hAnsi="Arial" w:cs="Arial"/>
                      <w:color w:val="222222"/>
                      <w:sz w:val="24"/>
                      <w:szCs w:val="24"/>
                    </w:rPr>
                    <w:t>a-1</w:t>
                  </w:r>
                  <w:proofErr w:type="gramEnd"/>
                  <w:r w:rsidRPr="00F37F21">
                    <w:rPr>
                      <w:rFonts w:ascii="Arial" w:eastAsia="Times New Roman" w:hAnsi="Arial" w:cs="Arial"/>
                      <w:color w:val="222222"/>
                      <w:sz w:val="24"/>
                      <w:szCs w:val="24"/>
                    </w:rPr>
                    <w:t>.</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Alternative 1 (First plane)</w:t>
                  </w:r>
                </w:p>
              </w:tc>
              <w:tc>
                <w:tcPr>
                  <w:tcW w:w="663"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3</w:t>
                  </w:r>
                </w:p>
              </w:tc>
              <w:tc>
                <w:tcPr>
                  <w:tcW w:w="108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years</w:t>
                  </w:r>
                </w:p>
              </w:tc>
            </w:tr>
            <w:tr w:rsidR="00F37F21" w:rsidRPr="00F37F21" w:rsidTr="00F37F21">
              <w:trPr>
                <w:trHeight w:val="37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Alternative 2 (Second plane)</w:t>
                  </w:r>
                </w:p>
              </w:tc>
              <w:tc>
                <w:tcPr>
                  <w:tcW w:w="663"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4</w:t>
                  </w:r>
                </w:p>
              </w:tc>
              <w:tc>
                <w:tcPr>
                  <w:tcW w:w="108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years</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roofErr w:type="gramStart"/>
                  <w:r w:rsidRPr="00F37F21">
                    <w:rPr>
                      <w:rFonts w:ascii="Arial" w:eastAsia="Times New Roman" w:hAnsi="Arial" w:cs="Arial"/>
                      <w:color w:val="222222"/>
                      <w:sz w:val="24"/>
                      <w:szCs w:val="24"/>
                    </w:rPr>
                    <w:t>a-2</w:t>
                  </w:r>
                  <w:proofErr w:type="gramEnd"/>
                  <w:r w:rsidRPr="00F37F21">
                    <w:rPr>
                      <w:rFonts w:ascii="Arial" w:eastAsia="Times New Roman" w:hAnsi="Arial" w:cs="Arial"/>
                      <w:color w:val="222222"/>
                      <w:sz w:val="24"/>
                      <w:szCs w:val="24"/>
                    </w:rPr>
                    <w:t>.</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North should accept</w:t>
                  </w:r>
                </w:p>
              </w:tc>
              <w:tc>
                <w:tcPr>
                  <w:tcW w:w="0" w:type="auto"/>
                  <w:gridSpan w:val="2"/>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Alternative 1</w:t>
                  </w:r>
                </w:p>
              </w:tc>
            </w:tr>
          </w:tbl>
          <w:p w:rsidR="00F37F21" w:rsidRPr="00F37F21" w:rsidRDefault="00F37F21" w:rsidP="00F37F21">
            <w:pPr>
              <w:spacing w:after="0" w:line="240" w:lineRule="auto"/>
              <w:rPr>
                <w:rFonts w:ascii="Verdana" w:eastAsia="Times New Roman" w:hAnsi="Verdana" w:cs="Times New Roman"/>
                <w:color w:val="000000"/>
                <w:sz w:val="20"/>
                <w:szCs w:val="20"/>
              </w:rPr>
            </w:pPr>
          </w:p>
        </w:tc>
      </w:tr>
    </w:tbl>
    <w:p w:rsidR="00F37F21" w:rsidRDefault="00F37F21">
      <w:proofErr w:type="gramStart"/>
      <w:r>
        <w:t>a-2</w:t>
      </w:r>
      <w:proofErr w:type="gramEnd"/>
      <w:r>
        <w:t xml:space="preserve"> choices: Alternative 1 or Alternative 2</w:t>
      </w:r>
    </w:p>
    <w:p w:rsidR="00F37F21" w:rsidRDefault="00F37F21" w:rsidP="00F37F21">
      <w:pPr>
        <w:pStyle w:val="Heading2"/>
        <w:shd w:val="clear" w:color="auto" w:fill="FFFFFF"/>
        <w:spacing w:before="0" w:beforeAutospacing="0" w:after="450" w:afterAutospacing="0"/>
        <w:rPr>
          <w:rFonts w:ascii="Arial" w:hAnsi="Arial" w:cs="Arial"/>
          <w:color w:val="252525"/>
          <w:sz w:val="30"/>
          <w:szCs w:val="30"/>
        </w:rPr>
      </w:pPr>
      <w:r>
        <w:lastRenderedPageBreak/>
        <w:t xml:space="preserve">6. </w:t>
      </w:r>
      <w:r>
        <w:rPr>
          <w:rFonts w:ascii="Arial" w:hAnsi="Arial" w:cs="Arial"/>
          <w:color w:val="252525"/>
          <w:sz w:val="30"/>
          <w:szCs w:val="30"/>
        </w:rPr>
        <w:t>Exercise 16-15 Computing the payback period and unadjusted rate of return for the same investment opportunity LO 16-4</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Garrison Rentals can purchase a van that costs $54,000; it has an expected useful life of three years and no salvage value. Garrison uses straight-line depreciation. Expected revenue is $36,000 per year. Assume that depreciation is the only expense associated with this investment.</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Fonts w:ascii="Arial" w:hAnsi="Arial" w:cs="Arial"/>
          <w:color w:val="252525"/>
          <w:sz w:val="27"/>
          <w:szCs w:val="27"/>
        </w:rPr>
        <w:t> </w:t>
      </w:r>
    </w:p>
    <w:p w:rsidR="00F37F21" w:rsidRDefault="00F37F21" w:rsidP="00F37F21">
      <w:pPr>
        <w:pStyle w:val="NormalWeb"/>
        <w:shd w:val="clear" w:color="auto" w:fill="FFFFFF"/>
        <w:spacing w:before="0" w:beforeAutospacing="0" w:after="0" w:afterAutospacing="0"/>
        <w:rPr>
          <w:rFonts w:ascii="Arial" w:hAnsi="Arial" w:cs="Arial"/>
          <w:color w:val="252525"/>
          <w:sz w:val="27"/>
          <w:szCs w:val="27"/>
        </w:rPr>
      </w:pPr>
      <w:r>
        <w:rPr>
          <w:rStyle w:val="Strong"/>
          <w:rFonts w:ascii="inherit" w:hAnsi="inherit" w:cs="Arial"/>
          <w:color w:val="252525"/>
          <w:sz w:val="27"/>
          <w:szCs w:val="27"/>
          <w:bdr w:val="none" w:sz="0" w:space="0" w:color="auto" w:frame="1"/>
        </w:rPr>
        <w:t>Required</w:t>
      </w:r>
    </w:p>
    <w:p w:rsidR="00F37F21" w:rsidRDefault="00F37F21" w:rsidP="00F37F21">
      <w:pPr>
        <w:pStyle w:val="NormalWeb"/>
        <w:numPr>
          <w:ilvl w:val="0"/>
          <w:numId w:val="5"/>
        </w:numPr>
        <w:shd w:val="clear" w:color="auto" w:fill="FFFFFF"/>
        <w:spacing w:before="0" w:beforeAutospacing="0" w:after="0" w:afterAutospacing="0"/>
        <w:rPr>
          <w:rFonts w:ascii="inherit" w:hAnsi="inherit" w:cs="Arial"/>
          <w:b/>
          <w:bCs/>
          <w:color w:val="252525"/>
          <w:sz w:val="27"/>
          <w:szCs w:val="27"/>
        </w:rPr>
      </w:pPr>
      <w:r>
        <w:rPr>
          <w:rFonts w:ascii="inherit" w:hAnsi="inherit" w:cs="Arial"/>
          <w:color w:val="252525"/>
          <w:sz w:val="27"/>
          <w:szCs w:val="27"/>
          <w:bdr w:val="none" w:sz="0" w:space="0" w:color="auto" w:frame="1"/>
        </w:rPr>
        <w:t>Determine the payback period. </w:t>
      </w:r>
      <w:r>
        <w:rPr>
          <w:rFonts w:ascii="inherit" w:hAnsi="inherit" w:cs="Arial"/>
          <w:b/>
          <w:bCs/>
          <w:color w:val="FF0000"/>
          <w:sz w:val="27"/>
          <w:szCs w:val="27"/>
          <w:bdr w:val="none" w:sz="0" w:space="0" w:color="auto" w:frame="1"/>
        </w:rPr>
        <w:t>(Round your answer to 1 decimal place.)</w:t>
      </w:r>
    </w:p>
    <w:p w:rsidR="00F37F21" w:rsidRDefault="00F37F21" w:rsidP="00F37F21">
      <w:pPr>
        <w:pStyle w:val="NormalWeb"/>
        <w:numPr>
          <w:ilvl w:val="0"/>
          <w:numId w:val="5"/>
        </w:numPr>
        <w:shd w:val="clear" w:color="auto" w:fill="FFFFFF"/>
        <w:spacing w:before="0" w:beforeAutospacing="0" w:after="0" w:afterAutospacing="0"/>
        <w:rPr>
          <w:rFonts w:ascii="inherit" w:hAnsi="inherit" w:cs="Arial"/>
          <w:b/>
          <w:bCs/>
          <w:color w:val="252525"/>
          <w:sz w:val="27"/>
          <w:szCs w:val="27"/>
        </w:rPr>
      </w:pPr>
      <w:r>
        <w:rPr>
          <w:rFonts w:ascii="inherit" w:hAnsi="inherit" w:cs="Arial"/>
          <w:color w:val="252525"/>
          <w:sz w:val="27"/>
          <w:szCs w:val="27"/>
          <w:bdr w:val="none" w:sz="0" w:space="0" w:color="auto" w:frame="1"/>
        </w:rPr>
        <w:t>Determine the unadjusted rate of return based on the average cost of the investment. </w:t>
      </w:r>
      <w:r>
        <w:rPr>
          <w:rFonts w:ascii="inherit" w:hAnsi="inherit" w:cs="Arial"/>
          <w:b/>
          <w:bCs/>
          <w:color w:val="FF0000"/>
          <w:sz w:val="27"/>
          <w:szCs w:val="27"/>
          <w:bdr w:val="none" w:sz="0" w:space="0" w:color="auto" w:frame="1"/>
        </w:rPr>
        <w:t>(Round your answer to 1 decimal place. (i.e., .234 should be entered as 23.4).)</w:t>
      </w:r>
    </w:p>
    <w:tbl>
      <w:tblPr>
        <w:tblW w:w="0" w:type="auto"/>
        <w:tblCellSpacing w:w="0" w:type="dxa"/>
        <w:tblCellMar>
          <w:left w:w="0" w:type="dxa"/>
          <w:right w:w="0" w:type="dxa"/>
        </w:tblCellMar>
        <w:tblLook w:val="04A0" w:firstRow="1" w:lastRow="0" w:firstColumn="1" w:lastColumn="0" w:noHBand="0" w:noVBand="1"/>
      </w:tblPr>
      <w:tblGrid>
        <w:gridCol w:w="6"/>
        <w:gridCol w:w="4952"/>
      </w:tblGrid>
      <w:tr w:rsidR="00F37F21" w:rsidRPr="00F37F21" w:rsidTr="00F37F21">
        <w:trPr>
          <w:gridAfter w:val="1"/>
          <w:wAfter w:w="4710" w:type="dxa"/>
          <w:tblCellSpacing w:w="0" w:type="dxa"/>
        </w:trPr>
        <w:tc>
          <w:tcPr>
            <w:tcW w:w="6" w:type="dxa"/>
            <w:tcBorders>
              <w:top w:val="nil"/>
              <w:left w:val="nil"/>
              <w:bottom w:val="nil"/>
              <w:right w:val="nil"/>
            </w:tcBorders>
            <w:vAlign w:val="center"/>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r>
      <w:tr w:rsidR="00F37F21" w:rsidRPr="00F37F21" w:rsidTr="00F37F21">
        <w:trPr>
          <w:tblCellSpacing w:w="0" w:type="dxa"/>
        </w:trPr>
        <w:tc>
          <w:tcPr>
            <w:tcW w:w="0" w:type="auto"/>
            <w:tcBorders>
              <w:top w:val="nil"/>
              <w:left w:val="nil"/>
              <w:bottom w:val="nil"/>
              <w:right w:val="nil"/>
            </w:tcBorders>
            <w:hideMark/>
          </w:tcPr>
          <w:p w:rsidR="00F37F21" w:rsidRPr="00F37F21" w:rsidRDefault="00F37F21" w:rsidP="00F37F21">
            <w:pPr>
              <w:spacing w:after="0" w:line="240" w:lineRule="auto"/>
              <w:rPr>
                <w:rFonts w:ascii="Verdana" w:eastAsia="Times New Roman" w:hAnsi="Verdana" w:cs="Times New Roman"/>
                <w:color w:val="000000"/>
                <w:sz w:val="20"/>
                <w:szCs w:val="20"/>
              </w:rPr>
            </w:pPr>
          </w:p>
        </w:tc>
        <w:tc>
          <w:tcPr>
            <w:tcW w:w="4710" w:type="dxa"/>
            <w:tcBorders>
              <w:top w:val="nil"/>
              <w:left w:val="nil"/>
              <w:bottom w:val="nil"/>
              <w:right w:val="nil"/>
            </w:tcBorders>
            <w:hideMark/>
          </w:tcPr>
          <w:tbl>
            <w:tblPr>
              <w:tblW w:w="4941" w:type="dxa"/>
              <w:tblCellSpacing w:w="0" w:type="dxa"/>
              <w:tblBorders>
                <w:top w:val="single" w:sz="24" w:space="0" w:color="777777"/>
                <w:left w:val="single" w:sz="24" w:space="0" w:color="777777"/>
                <w:bottom w:val="single" w:sz="24" w:space="0" w:color="777777"/>
                <w:right w:val="single" w:sz="24" w:space="0" w:color="777777"/>
              </w:tblBorders>
              <w:shd w:val="clear" w:color="auto" w:fill="FFFFFF"/>
              <w:tblCellMar>
                <w:left w:w="0" w:type="dxa"/>
                <w:right w:w="0" w:type="dxa"/>
              </w:tblCellMar>
              <w:tblLook w:val="04A0" w:firstRow="1" w:lastRow="0" w:firstColumn="1" w:lastColumn="0" w:noHBand="0" w:noVBand="1"/>
            </w:tblPr>
            <w:tblGrid>
              <w:gridCol w:w="320"/>
              <w:gridCol w:w="2849"/>
              <w:gridCol w:w="732"/>
              <w:gridCol w:w="1040"/>
            </w:tblGrid>
            <w:tr w:rsidR="00F37F21" w:rsidRPr="00F37F21" w:rsidTr="00F37F21">
              <w:trPr>
                <w:trHeight w:val="345"/>
                <w:tblCellSpacing w:w="0" w:type="dxa"/>
              </w:trPr>
              <w:tc>
                <w:tcPr>
                  <w:tcW w:w="4941" w:type="dxa"/>
                  <w:gridSpan w:val="4"/>
                  <w:tcBorders>
                    <w:top w:val="single" w:sz="2" w:space="0" w:color="auto"/>
                    <w:left w:val="single" w:sz="2" w:space="0" w:color="auto"/>
                    <w:bottom w:val="single" w:sz="6" w:space="0" w:color="auto"/>
                    <w:right w:val="single" w:sz="6" w:space="0" w:color="auto"/>
                  </w:tcBorders>
                  <w:shd w:val="clear" w:color="auto" w:fill="79ADE5"/>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p>
              </w:tc>
            </w:tr>
            <w:tr w:rsidR="00F37F21" w:rsidRPr="00F37F21" w:rsidTr="00F37F21">
              <w:trPr>
                <w:trHeight w:val="390"/>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a.</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Payback period</w:t>
                  </w:r>
                </w:p>
              </w:tc>
              <w:tc>
                <w:tcPr>
                  <w:tcW w:w="64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F37F21">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1.5</w:t>
                  </w:r>
                </w:p>
              </w:tc>
              <w:tc>
                <w:tcPr>
                  <w:tcW w:w="100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years</w:t>
                  </w:r>
                </w:p>
              </w:tc>
            </w:tr>
            <w:tr w:rsidR="00F37F21" w:rsidRPr="00F37F21" w:rsidTr="00F37F21">
              <w:trPr>
                <w:trHeight w:val="345"/>
                <w:tblCellSpacing w:w="0" w:type="dxa"/>
              </w:trPr>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b.</w:t>
                  </w:r>
                </w:p>
              </w:tc>
              <w:tc>
                <w:tcPr>
                  <w:tcW w:w="0" w:type="auto"/>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Unadjusted rate of return</w:t>
                  </w:r>
                </w:p>
              </w:tc>
              <w:tc>
                <w:tcPr>
                  <w:tcW w:w="64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EF4334" w:rsidP="00EF4334">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66.</w:t>
                  </w:r>
                  <w:bookmarkStart w:id="0" w:name="_GoBack"/>
                  <w:bookmarkEnd w:id="0"/>
                  <w:r>
                    <w:rPr>
                      <w:rFonts w:ascii="Arial" w:eastAsia="Times New Roman" w:hAnsi="Arial" w:cs="Arial"/>
                      <w:color w:val="222222"/>
                      <w:sz w:val="24"/>
                      <w:szCs w:val="24"/>
                    </w:rPr>
                    <w:t>67</w:t>
                  </w:r>
                </w:p>
              </w:tc>
              <w:tc>
                <w:tcPr>
                  <w:tcW w:w="1009" w:type="dxa"/>
                  <w:tcBorders>
                    <w:top w:val="single" w:sz="2" w:space="0" w:color="auto"/>
                    <w:left w:val="single" w:sz="2"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F37F21" w:rsidRPr="00F37F21" w:rsidRDefault="00F37F21" w:rsidP="00F37F21">
                  <w:pPr>
                    <w:spacing w:after="0" w:line="240" w:lineRule="auto"/>
                    <w:rPr>
                      <w:rFonts w:ascii="Arial" w:eastAsia="Times New Roman" w:hAnsi="Arial" w:cs="Arial"/>
                      <w:color w:val="222222"/>
                      <w:sz w:val="24"/>
                      <w:szCs w:val="24"/>
                    </w:rPr>
                  </w:pPr>
                  <w:r w:rsidRPr="00F37F21">
                    <w:rPr>
                      <w:rFonts w:ascii="Arial" w:eastAsia="Times New Roman" w:hAnsi="Arial" w:cs="Arial"/>
                      <w:color w:val="222222"/>
                      <w:sz w:val="24"/>
                      <w:szCs w:val="24"/>
                    </w:rPr>
                    <w:t>%</w:t>
                  </w:r>
                </w:p>
              </w:tc>
            </w:tr>
          </w:tbl>
          <w:p w:rsidR="00F37F21" w:rsidRPr="00F37F21" w:rsidRDefault="00F37F21" w:rsidP="00F37F21">
            <w:pPr>
              <w:spacing w:after="0" w:line="240" w:lineRule="auto"/>
              <w:rPr>
                <w:rFonts w:ascii="Verdana" w:eastAsia="Times New Roman" w:hAnsi="Verdana" w:cs="Times New Roman"/>
                <w:color w:val="000000"/>
                <w:sz w:val="20"/>
                <w:szCs w:val="20"/>
              </w:rPr>
            </w:pPr>
          </w:p>
        </w:tc>
      </w:tr>
    </w:tbl>
    <w:p w:rsidR="00F37F21" w:rsidRDefault="00F37F21"/>
    <w:sectPr w:rsidR="00F37F21" w:rsidSect="00F37F2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B4E77"/>
    <w:multiLevelType w:val="multilevel"/>
    <w:tmpl w:val="FD9E44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BD01EC6"/>
    <w:multiLevelType w:val="multilevel"/>
    <w:tmpl w:val="8C1230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2A9F4A1E"/>
    <w:multiLevelType w:val="multilevel"/>
    <w:tmpl w:val="5D2A8A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34E57CE2"/>
    <w:multiLevelType w:val="multilevel"/>
    <w:tmpl w:val="886AC1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9E36B19"/>
    <w:multiLevelType w:val="multilevel"/>
    <w:tmpl w:val="F260D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F1D"/>
    <w:rsid w:val="000027ED"/>
    <w:rsid w:val="00003C77"/>
    <w:rsid w:val="00006681"/>
    <w:rsid w:val="0001127A"/>
    <w:rsid w:val="00011EF7"/>
    <w:rsid w:val="000142E1"/>
    <w:rsid w:val="0001573C"/>
    <w:rsid w:val="00016DF7"/>
    <w:rsid w:val="00021306"/>
    <w:rsid w:val="00021B0F"/>
    <w:rsid w:val="00021D30"/>
    <w:rsid w:val="000222B2"/>
    <w:rsid w:val="000222D8"/>
    <w:rsid w:val="00022A46"/>
    <w:rsid w:val="00024BF5"/>
    <w:rsid w:val="000326BB"/>
    <w:rsid w:val="00036EAB"/>
    <w:rsid w:val="00045444"/>
    <w:rsid w:val="00045518"/>
    <w:rsid w:val="000466FE"/>
    <w:rsid w:val="0004757F"/>
    <w:rsid w:val="000537A6"/>
    <w:rsid w:val="000549CD"/>
    <w:rsid w:val="00063230"/>
    <w:rsid w:val="0006483E"/>
    <w:rsid w:val="0006533A"/>
    <w:rsid w:val="0006798A"/>
    <w:rsid w:val="00072116"/>
    <w:rsid w:val="00086292"/>
    <w:rsid w:val="00086DF8"/>
    <w:rsid w:val="00090F31"/>
    <w:rsid w:val="00091237"/>
    <w:rsid w:val="0009765A"/>
    <w:rsid w:val="000A121C"/>
    <w:rsid w:val="000A1A70"/>
    <w:rsid w:val="000A5737"/>
    <w:rsid w:val="000A6579"/>
    <w:rsid w:val="000A7E3B"/>
    <w:rsid w:val="000B1B80"/>
    <w:rsid w:val="000B1F19"/>
    <w:rsid w:val="000B2251"/>
    <w:rsid w:val="000B5AFA"/>
    <w:rsid w:val="000B7166"/>
    <w:rsid w:val="000B7877"/>
    <w:rsid w:val="000C4C4C"/>
    <w:rsid w:val="000C6CAF"/>
    <w:rsid w:val="000D35E6"/>
    <w:rsid w:val="000D4480"/>
    <w:rsid w:val="000D56AF"/>
    <w:rsid w:val="000D692B"/>
    <w:rsid w:val="000D6BE3"/>
    <w:rsid w:val="000E2E50"/>
    <w:rsid w:val="000E331C"/>
    <w:rsid w:val="000E4605"/>
    <w:rsid w:val="000E5299"/>
    <w:rsid w:val="000E6768"/>
    <w:rsid w:val="000E70EC"/>
    <w:rsid w:val="000F206E"/>
    <w:rsid w:val="000F290F"/>
    <w:rsid w:val="000F3316"/>
    <w:rsid w:val="000F6078"/>
    <w:rsid w:val="00101911"/>
    <w:rsid w:val="0011053D"/>
    <w:rsid w:val="0011102E"/>
    <w:rsid w:val="00111156"/>
    <w:rsid w:val="00112CB0"/>
    <w:rsid w:val="00114BEC"/>
    <w:rsid w:val="00116527"/>
    <w:rsid w:val="00116CC0"/>
    <w:rsid w:val="001235AD"/>
    <w:rsid w:val="00125B5B"/>
    <w:rsid w:val="00126B60"/>
    <w:rsid w:val="00134148"/>
    <w:rsid w:val="00140558"/>
    <w:rsid w:val="00140BF4"/>
    <w:rsid w:val="001411DB"/>
    <w:rsid w:val="00142B3D"/>
    <w:rsid w:val="001449FC"/>
    <w:rsid w:val="001471F6"/>
    <w:rsid w:val="00152D4A"/>
    <w:rsid w:val="00160056"/>
    <w:rsid w:val="00162676"/>
    <w:rsid w:val="0016270A"/>
    <w:rsid w:val="001639FA"/>
    <w:rsid w:val="00165A99"/>
    <w:rsid w:val="0016685F"/>
    <w:rsid w:val="0016726A"/>
    <w:rsid w:val="00170A27"/>
    <w:rsid w:val="00172F6A"/>
    <w:rsid w:val="001767AE"/>
    <w:rsid w:val="00177AA9"/>
    <w:rsid w:val="00182700"/>
    <w:rsid w:val="00183730"/>
    <w:rsid w:val="001837FB"/>
    <w:rsid w:val="00193622"/>
    <w:rsid w:val="00194B9F"/>
    <w:rsid w:val="00195953"/>
    <w:rsid w:val="001966BF"/>
    <w:rsid w:val="00197224"/>
    <w:rsid w:val="00197F1F"/>
    <w:rsid w:val="00197FE5"/>
    <w:rsid w:val="001A40B6"/>
    <w:rsid w:val="001A7864"/>
    <w:rsid w:val="001B054F"/>
    <w:rsid w:val="001B1BCD"/>
    <w:rsid w:val="001B293B"/>
    <w:rsid w:val="001C14B1"/>
    <w:rsid w:val="001C43EB"/>
    <w:rsid w:val="001C4DF9"/>
    <w:rsid w:val="001C66A3"/>
    <w:rsid w:val="001D0649"/>
    <w:rsid w:val="001D2AA6"/>
    <w:rsid w:val="001D2E1E"/>
    <w:rsid w:val="001D3B67"/>
    <w:rsid w:val="001D5034"/>
    <w:rsid w:val="001D63C4"/>
    <w:rsid w:val="001D6707"/>
    <w:rsid w:val="001D6BB4"/>
    <w:rsid w:val="001E26C7"/>
    <w:rsid w:val="001E26F2"/>
    <w:rsid w:val="001E55D6"/>
    <w:rsid w:val="001F17C0"/>
    <w:rsid w:val="001F3FE7"/>
    <w:rsid w:val="001F6D82"/>
    <w:rsid w:val="001F7206"/>
    <w:rsid w:val="00200A77"/>
    <w:rsid w:val="00200E7C"/>
    <w:rsid w:val="00206ACE"/>
    <w:rsid w:val="00211F76"/>
    <w:rsid w:val="00220B2A"/>
    <w:rsid w:val="002218FA"/>
    <w:rsid w:val="002244F2"/>
    <w:rsid w:val="00225CEC"/>
    <w:rsid w:val="00226051"/>
    <w:rsid w:val="00231E7D"/>
    <w:rsid w:val="002341FE"/>
    <w:rsid w:val="00234765"/>
    <w:rsid w:val="00237268"/>
    <w:rsid w:val="00240AE3"/>
    <w:rsid w:val="00247A47"/>
    <w:rsid w:val="00250C62"/>
    <w:rsid w:val="00254490"/>
    <w:rsid w:val="00254496"/>
    <w:rsid w:val="002643AB"/>
    <w:rsid w:val="00284F6E"/>
    <w:rsid w:val="002864E4"/>
    <w:rsid w:val="00295A02"/>
    <w:rsid w:val="00296982"/>
    <w:rsid w:val="002A21DC"/>
    <w:rsid w:val="002A2A96"/>
    <w:rsid w:val="002B1BD2"/>
    <w:rsid w:val="002B531C"/>
    <w:rsid w:val="002B67C2"/>
    <w:rsid w:val="002B7606"/>
    <w:rsid w:val="002C60FC"/>
    <w:rsid w:val="002C6738"/>
    <w:rsid w:val="002C7A68"/>
    <w:rsid w:val="002D1608"/>
    <w:rsid w:val="002D7F7A"/>
    <w:rsid w:val="002E61F1"/>
    <w:rsid w:val="002F0073"/>
    <w:rsid w:val="002F0F75"/>
    <w:rsid w:val="002F7C5C"/>
    <w:rsid w:val="002F7EBA"/>
    <w:rsid w:val="003016A1"/>
    <w:rsid w:val="00307EE7"/>
    <w:rsid w:val="0031000B"/>
    <w:rsid w:val="00312508"/>
    <w:rsid w:val="003138D7"/>
    <w:rsid w:val="00315DB5"/>
    <w:rsid w:val="00320A42"/>
    <w:rsid w:val="00322A7E"/>
    <w:rsid w:val="00323ACF"/>
    <w:rsid w:val="003242D8"/>
    <w:rsid w:val="00333052"/>
    <w:rsid w:val="00337E2F"/>
    <w:rsid w:val="00341D45"/>
    <w:rsid w:val="00345EC5"/>
    <w:rsid w:val="0034749A"/>
    <w:rsid w:val="003507D1"/>
    <w:rsid w:val="0035439F"/>
    <w:rsid w:val="003558E9"/>
    <w:rsid w:val="00355EE3"/>
    <w:rsid w:val="0036019A"/>
    <w:rsid w:val="003630D3"/>
    <w:rsid w:val="00363657"/>
    <w:rsid w:val="0036657F"/>
    <w:rsid w:val="003666CC"/>
    <w:rsid w:val="003676B8"/>
    <w:rsid w:val="00373C36"/>
    <w:rsid w:val="003776C8"/>
    <w:rsid w:val="003779AB"/>
    <w:rsid w:val="00381B67"/>
    <w:rsid w:val="00385AAF"/>
    <w:rsid w:val="00386806"/>
    <w:rsid w:val="00392D54"/>
    <w:rsid w:val="0039561B"/>
    <w:rsid w:val="00397578"/>
    <w:rsid w:val="003A3322"/>
    <w:rsid w:val="003A3D2A"/>
    <w:rsid w:val="003A4FC2"/>
    <w:rsid w:val="003A5E8C"/>
    <w:rsid w:val="003A7052"/>
    <w:rsid w:val="003B05FA"/>
    <w:rsid w:val="003B1D0F"/>
    <w:rsid w:val="003B270C"/>
    <w:rsid w:val="003B47F6"/>
    <w:rsid w:val="003B5968"/>
    <w:rsid w:val="003B5A96"/>
    <w:rsid w:val="003C13F0"/>
    <w:rsid w:val="003C336A"/>
    <w:rsid w:val="003D456B"/>
    <w:rsid w:val="003E0297"/>
    <w:rsid w:val="003E32CA"/>
    <w:rsid w:val="003F11B5"/>
    <w:rsid w:val="003F2AB7"/>
    <w:rsid w:val="003F3593"/>
    <w:rsid w:val="004013E4"/>
    <w:rsid w:val="0040287D"/>
    <w:rsid w:val="004033F5"/>
    <w:rsid w:val="00410CA3"/>
    <w:rsid w:val="004143F7"/>
    <w:rsid w:val="004162DE"/>
    <w:rsid w:val="00420CF6"/>
    <w:rsid w:val="00424E5D"/>
    <w:rsid w:val="00427600"/>
    <w:rsid w:val="00427D46"/>
    <w:rsid w:val="00431247"/>
    <w:rsid w:val="00433BCD"/>
    <w:rsid w:val="004340A3"/>
    <w:rsid w:val="00434456"/>
    <w:rsid w:val="00435A20"/>
    <w:rsid w:val="00436754"/>
    <w:rsid w:val="00437CFE"/>
    <w:rsid w:val="004414F6"/>
    <w:rsid w:val="004434D5"/>
    <w:rsid w:val="004448F2"/>
    <w:rsid w:val="00450E1E"/>
    <w:rsid w:val="00456796"/>
    <w:rsid w:val="004570B0"/>
    <w:rsid w:val="004622C7"/>
    <w:rsid w:val="0046385C"/>
    <w:rsid w:val="00463864"/>
    <w:rsid w:val="00463E10"/>
    <w:rsid w:val="0046549F"/>
    <w:rsid w:val="00465A22"/>
    <w:rsid w:val="00465C1B"/>
    <w:rsid w:val="00467E26"/>
    <w:rsid w:val="004700FB"/>
    <w:rsid w:val="004711CB"/>
    <w:rsid w:val="00471A5B"/>
    <w:rsid w:val="00486804"/>
    <w:rsid w:val="00486914"/>
    <w:rsid w:val="00486C99"/>
    <w:rsid w:val="0049258F"/>
    <w:rsid w:val="0049520F"/>
    <w:rsid w:val="00496DD2"/>
    <w:rsid w:val="004A17E7"/>
    <w:rsid w:val="004A27C1"/>
    <w:rsid w:val="004A729D"/>
    <w:rsid w:val="004B02DC"/>
    <w:rsid w:val="004B1499"/>
    <w:rsid w:val="004B160C"/>
    <w:rsid w:val="004B2216"/>
    <w:rsid w:val="004B5C4D"/>
    <w:rsid w:val="004B6329"/>
    <w:rsid w:val="004C05AC"/>
    <w:rsid w:val="004C3EC6"/>
    <w:rsid w:val="004C3F8A"/>
    <w:rsid w:val="004C4087"/>
    <w:rsid w:val="004D21CF"/>
    <w:rsid w:val="004D6CBF"/>
    <w:rsid w:val="004D7B99"/>
    <w:rsid w:val="004E03F3"/>
    <w:rsid w:val="004E2BC7"/>
    <w:rsid w:val="004E36BC"/>
    <w:rsid w:val="004E3734"/>
    <w:rsid w:val="004E3EE5"/>
    <w:rsid w:val="004E4B2B"/>
    <w:rsid w:val="004E6488"/>
    <w:rsid w:val="004E709A"/>
    <w:rsid w:val="004F0E5A"/>
    <w:rsid w:val="004F0EF0"/>
    <w:rsid w:val="004F2DD5"/>
    <w:rsid w:val="004F30DD"/>
    <w:rsid w:val="004F70C8"/>
    <w:rsid w:val="0050388C"/>
    <w:rsid w:val="00520BE7"/>
    <w:rsid w:val="0052116D"/>
    <w:rsid w:val="005215EE"/>
    <w:rsid w:val="00521643"/>
    <w:rsid w:val="00521A66"/>
    <w:rsid w:val="005235EC"/>
    <w:rsid w:val="005278A9"/>
    <w:rsid w:val="00531C91"/>
    <w:rsid w:val="00536F84"/>
    <w:rsid w:val="00540019"/>
    <w:rsid w:val="00544AD4"/>
    <w:rsid w:val="005453CF"/>
    <w:rsid w:val="005461DE"/>
    <w:rsid w:val="005464CC"/>
    <w:rsid w:val="00546DB5"/>
    <w:rsid w:val="00547673"/>
    <w:rsid w:val="00551A3C"/>
    <w:rsid w:val="00554966"/>
    <w:rsid w:val="005559D7"/>
    <w:rsid w:val="00557F39"/>
    <w:rsid w:val="0056149E"/>
    <w:rsid w:val="00563EAE"/>
    <w:rsid w:val="00564AD4"/>
    <w:rsid w:val="00565F9B"/>
    <w:rsid w:val="00571CD1"/>
    <w:rsid w:val="005774BC"/>
    <w:rsid w:val="005804B6"/>
    <w:rsid w:val="00580613"/>
    <w:rsid w:val="00581C12"/>
    <w:rsid w:val="00583F25"/>
    <w:rsid w:val="005876BA"/>
    <w:rsid w:val="00587C48"/>
    <w:rsid w:val="00595C04"/>
    <w:rsid w:val="0059615C"/>
    <w:rsid w:val="005A60C8"/>
    <w:rsid w:val="005A6686"/>
    <w:rsid w:val="005B0745"/>
    <w:rsid w:val="005B1D42"/>
    <w:rsid w:val="005C0E40"/>
    <w:rsid w:val="005C2FEE"/>
    <w:rsid w:val="005C3CF9"/>
    <w:rsid w:val="005C665B"/>
    <w:rsid w:val="005C7B25"/>
    <w:rsid w:val="005C7CC4"/>
    <w:rsid w:val="005D4290"/>
    <w:rsid w:val="005D459C"/>
    <w:rsid w:val="005D4D69"/>
    <w:rsid w:val="005E00D7"/>
    <w:rsid w:val="005E0A78"/>
    <w:rsid w:val="005E1D7D"/>
    <w:rsid w:val="005E1E11"/>
    <w:rsid w:val="005E3121"/>
    <w:rsid w:val="005E4181"/>
    <w:rsid w:val="005F1931"/>
    <w:rsid w:val="005F2815"/>
    <w:rsid w:val="005F3E26"/>
    <w:rsid w:val="005F64B0"/>
    <w:rsid w:val="005F78E4"/>
    <w:rsid w:val="00600530"/>
    <w:rsid w:val="0060094D"/>
    <w:rsid w:val="00602ACD"/>
    <w:rsid w:val="006076AA"/>
    <w:rsid w:val="00611F39"/>
    <w:rsid w:val="00612D0B"/>
    <w:rsid w:val="00613396"/>
    <w:rsid w:val="00613F24"/>
    <w:rsid w:val="00623BAD"/>
    <w:rsid w:val="00623FEF"/>
    <w:rsid w:val="0062683D"/>
    <w:rsid w:val="00630BCE"/>
    <w:rsid w:val="006326A7"/>
    <w:rsid w:val="00635A5A"/>
    <w:rsid w:val="0063706B"/>
    <w:rsid w:val="00637E21"/>
    <w:rsid w:val="0064168F"/>
    <w:rsid w:val="00642A58"/>
    <w:rsid w:val="00644E33"/>
    <w:rsid w:val="00647AB2"/>
    <w:rsid w:val="00653B8B"/>
    <w:rsid w:val="006562A5"/>
    <w:rsid w:val="0065766B"/>
    <w:rsid w:val="00661796"/>
    <w:rsid w:val="0066278D"/>
    <w:rsid w:val="006647C8"/>
    <w:rsid w:val="00664EA8"/>
    <w:rsid w:val="00666CFA"/>
    <w:rsid w:val="0067278E"/>
    <w:rsid w:val="0067315F"/>
    <w:rsid w:val="00674767"/>
    <w:rsid w:val="00684836"/>
    <w:rsid w:val="00686323"/>
    <w:rsid w:val="006869C7"/>
    <w:rsid w:val="006952D3"/>
    <w:rsid w:val="006A3976"/>
    <w:rsid w:val="006A656A"/>
    <w:rsid w:val="006B0C83"/>
    <w:rsid w:val="006B1EDD"/>
    <w:rsid w:val="006B34A3"/>
    <w:rsid w:val="006B35EF"/>
    <w:rsid w:val="006B55A2"/>
    <w:rsid w:val="006B63D8"/>
    <w:rsid w:val="006B7032"/>
    <w:rsid w:val="006B7C43"/>
    <w:rsid w:val="006B7EBA"/>
    <w:rsid w:val="006C6751"/>
    <w:rsid w:val="006C7392"/>
    <w:rsid w:val="006D1483"/>
    <w:rsid w:val="006D78C9"/>
    <w:rsid w:val="006E556E"/>
    <w:rsid w:val="006F24B3"/>
    <w:rsid w:val="006F2A95"/>
    <w:rsid w:val="006F4964"/>
    <w:rsid w:val="00700838"/>
    <w:rsid w:val="00701123"/>
    <w:rsid w:val="00704702"/>
    <w:rsid w:val="0071098E"/>
    <w:rsid w:val="00711726"/>
    <w:rsid w:val="00713322"/>
    <w:rsid w:val="00714E08"/>
    <w:rsid w:val="007165E9"/>
    <w:rsid w:val="00716752"/>
    <w:rsid w:val="00720F6E"/>
    <w:rsid w:val="0072189F"/>
    <w:rsid w:val="00723307"/>
    <w:rsid w:val="00723CF8"/>
    <w:rsid w:val="0072570F"/>
    <w:rsid w:val="00730CBC"/>
    <w:rsid w:val="00732594"/>
    <w:rsid w:val="007344E8"/>
    <w:rsid w:val="0073665C"/>
    <w:rsid w:val="0074459D"/>
    <w:rsid w:val="0074719C"/>
    <w:rsid w:val="007473CC"/>
    <w:rsid w:val="00752B1D"/>
    <w:rsid w:val="00761D03"/>
    <w:rsid w:val="00764174"/>
    <w:rsid w:val="00764B1C"/>
    <w:rsid w:val="00765760"/>
    <w:rsid w:val="0076618E"/>
    <w:rsid w:val="00766F0B"/>
    <w:rsid w:val="00773019"/>
    <w:rsid w:val="00776D04"/>
    <w:rsid w:val="007859AE"/>
    <w:rsid w:val="0078707E"/>
    <w:rsid w:val="00790EE6"/>
    <w:rsid w:val="00793A3A"/>
    <w:rsid w:val="00796534"/>
    <w:rsid w:val="00797500"/>
    <w:rsid w:val="00797C09"/>
    <w:rsid w:val="007A0808"/>
    <w:rsid w:val="007A199D"/>
    <w:rsid w:val="007B000D"/>
    <w:rsid w:val="007B1F86"/>
    <w:rsid w:val="007B2A2F"/>
    <w:rsid w:val="007B695C"/>
    <w:rsid w:val="007C2EBE"/>
    <w:rsid w:val="007C41EA"/>
    <w:rsid w:val="007C58AC"/>
    <w:rsid w:val="007C6216"/>
    <w:rsid w:val="007D1C88"/>
    <w:rsid w:val="007E0C37"/>
    <w:rsid w:val="007E5557"/>
    <w:rsid w:val="007E5983"/>
    <w:rsid w:val="007E67FC"/>
    <w:rsid w:val="007F07DC"/>
    <w:rsid w:val="007F1A61"/>
    <w:rsid w:val="007F1E8C"/>
    <w:rsid w:val="007F1FF5"/>
    <w:rsid w:val="007F292B"/>
    <w:rsid w:val="007F6AF5"/>
    <w:rsid w:val="008040A1"/>
    <w:rsid w:val="00806937"/>
    <w:rsid w:val="00815DA4"/>
    <w:rsid w:val="00816939"/>
    <w:rsid w:val="00817B9E"/>
    <w:rsid w:val="00822F91"/>
    <w:rsid w:val="008250F5"/>
    <w:rsid w:val="008251D0"/>
    <w:rsid w:val="00825F84"/>
    <w:rsid w:val="00835731"/>
    <w:rsid w:val="00843DAE"/>
    <w:rsid w:val="00851EAD"/>
    <w:rsid w:val="00855A5A"/>
    <w:rsid w:val="0085729D"/>
    <w:rsid w:val="00863DEB"/>
    <w:rsid w:val="00870AD0"/>
    <w:rsid w:val="008719B3"/>
    <w:rsid w:val="008745F5"/>
    <w:rsid w:val="00874D90"/>
    <w:rsid w:val="00886F75"/>
    <w:rsid w:val="00893B89"/>
    <w:rsid w:val="00896A0E"/>
    <w:rsid w:val="008A0A38"/>
    <w:rsid w:val="008A0B69"/>
    <w:rsid w:val="008A3FA0"/>
    <w:rsid w:val="008B351D"/>
    <w:rsid w:val="008B3CDB"/>
    <w:rsid w:val="008C110A"/>
    <w:rsid w:val="008C290B"/>
    <w:rsid w:val="008C51C2"/>
    <w:rsid w:val="008D16F0"/>
    <w:rsid w:val="008D1DDF"/>
    <w:rsid w:val="008D3C75"/>
    <w:rsid w:val="008D536D"/>
    <w:rsid w:val="008E121E"/>
    <w:rsid w:val="008E6CB1"/>
    <w:rsid w:val="008E7148"/>
    <w:rsid w:val="008F0EC0"/>
    <w:rsid w:val="008F7A92"/>
    <w:rsid w:val="00904AEA"/>
    <w:rsid w:val="00906648"/>
    <w:rsid w:val="009113C7"/>
    <w:rsid w:val="00915E42"/>
    <w:rsid w:val="009204DF"/>
    <w:rsid w:val="00923727"/>
    <w:rsid w:val="00924DA9"/>
    <w:rsid w:val="00932683"/>
    <w:rsid w:val="009331A1"/>
    <w:rsid w:val="009334D1"/>
    <w:rsid w:val="00936D9C"/>
    <w:rsid w:val="00944535"/>
    <w:rsid w:val="009448E0"/>
    <w:rsid w:val="0094598E"/>
    <w:rsid w:val="00946F3B"/>
    <w:rsid w:val="0095109F"/>
    <w:rsid w:val="009525F5"/>
    <w:rsid w:val="00953FC0"/>
    <w:rsid w:val="00954759"/>
    <w:rsid w:val="00967A11"/>
    <w:rsid w:val="00971F0D"/>
    <w:rsid w:val="0097338F"/>
    <w:rsid w:val="009835CF"/>
    <w:rsid w:val="00986E69"/>
    <w:rsid w:val="00993E70"/>
    <w:rsid w:val="00994CCF"/>
    <w:rsid w:val="009A46DE"/>
    <w:rsid w:val="009A4D48"/>
    <w:rsid w:val="009A634C"/>
    <w:rsid w:val="009A7D7A"/>
    <w:rsid w:val="009A7F90"/>
    <w:rsid w:val="009B16DB"/>
    <w:rsid w:val="009B4637"/>
    <w:rsid w:val="009B5207"/>
    <w:rsid w:val="009B6874"/>
    <w:rsid w:val="009C4677"/>
    <w:rsid w:val="009C585B"/>
    <w:rsid w:val="009D0189"/>
    <w:rsid w:val="009D4752"/>
    <w:rsid w:val="009D58A6"/>
    <w:rsid w:val="009D77CC"/>
    <w:rsid w:val="009E34C7"/>
    <w:rsid w:val="009E7163"/>
    <w:rsid w:val="009F4673"/>
    <w:rsid w:val="009F6E16"/>
    <w:rsid w:val="00A000E0"/>
    <w:rsid w:val="00A0025A"/>
    <w:rsid w:val="00A017FF"/>
    <w:rsid w:val="00A01B9A"/>
    <w:rsid w:val="00A02EE6"/>
    <w:rsid w:val="00A03D9E"/>
    <w:rsid w:val="00A10A31"/>
    <w:rsid w:val="00A114B8"/>
    <w:rsid w:val="00A16468"/>
    <w:rsid w:val="00A22234"/>
    <w:rsid w:val="00A22FAB"/>
    <w:rsid w:val="00A2590C"/>
    <w:rsid w:val="00A37638"/>
    <w:rsid w:val="00A37E3A"/>
    <w:rsid w:val="00A418C6"/>
    <w:rsid w:val="00A41C4C"/>
    <w:rsid w:val="00A4235A"/>
    <w:rsid w:val="00A513B3"/>
    <w:rsid w:val="00A52C4A"/>
    <w:rsid w:val="00A550A5"/>
    <w:rsid w:val="00A55E8F"/>
    <w:rsid w:val="00A63434"/>
    <w:rsid w:val="00A64C31"/>
    <w:rsid w:val="00A65CBC"/>
    <w:rsid w:val="00A67F96"/>
    <w:rsid w:val="00A7247F"/>
    <w:rsid w:val="00A731FD"/>
    <w:rsid w:val="00A75295"/>
    <w:rsid w:val="00A76092"/>
    <w:rsid w:val="00A77303"/>
    <w:rsid w:val="00A80696"/>
    <w:rsid w:val="00A82ECE"/>
    <w:rsid w:val="00A8460D"/>
    <w:rsid w:val="00A859BD"/>
    <w:rsid w:val="00A956A3"/>
    <w:rsid w:val="00AA181F"/>
    <w:rsid w:val="00AA29FD"/>
    <w:rsid w:val="00AA2CAE"/>
    <w:rsid w:val="00AA3004"/>
    <w:rsid w:val="00AA36C5"/>
    <w:rsid w:val="00AA602B"/>
    <w:rsid w:val="00AA6B54"/>
    <w:rsid w:val="00AB0191"/>
    <w:rsid w:val="00AC0063"/>
    <w:rsid w:val="00AC0483"/>
    <w:rsid w:val="00AC0969"/>
    <w:rsid w:val="00AC2C6C"/>
    <w:rsid w:val="00AC35E3"/>
    <w:rsid w:val="00AC4716"/>
    <w:rsid w:val="00AC4814"/>
    <w:rsid w:val="00AC58C0"/>
    <w:rsid w:val="00AD1E46"/>
    <w:rsid w:val="00AD352C"/>
    <w:rsid w:val="00AD6DF4"/>
    <w:rsid w:val="00AD7415"/>
    <w:rsid w:val="00AE4691"/>
    <w:rsid w:val="00AE559B"/>
    <w:rsid w:val="00AE688A"/>
    <w:rsid w:val="00AF133A"/>
    <w:rsid w:val="00AF33C7"/>
    <w:rsid w:val="00AF3CC6"/>
    <w:rsid w:val="00AF6758"/>
    <w:rsid w:val="00AF6AA6"/>
    <w:rsid w:val="00B0633F"/>
    <w:rsid w:val="00B06D2D"/>
    <w:rsid w:val="00B07D78"/>
    <w:rsid w:val="00B12FEF"/>
    <w:rsid w:val="00B132B0"/>
    <w:rsid w:val="00B147D7"/>
    <w:rsid w:val="00B22D77"/>
    <w:rsid w:val="00B2360C"/>
    <w:rsid w:val="00B242C2"/>
    <w:rsid w:val="00B27471"/>
    <w:rsid w:val="00B275B8"/>
    <w:rsid w:val="00B30DF4"/>
    <w:rsid w:val="00B4286A"/>
    <w:rsid w:val="00B43BAB"/>
    <w:rsid w:val="00B44D07"/>
    <w:rsid w:val="00B4600E"/>
    <w:rsid w:val="00B47482"/>
    <w:rsid w:val="00B50F33"/>
    <w:rsid w:val="00B53F69"/>
    <w:rsid w:val="00B55B58"/>
    <w:rsid w:val="00B60C4C"/>
    <w:rsid w:val="00B61D8A"/>
    <w:rsid w:val="00B6397F"/>
    <w:rsid w:val="00B653A5"/>
    <w:rsid w:val="00B70D36"/>
    <w:rsid w:val="00B7471E"/>
    <w:rsid w:val="00B75F96"/>
    <w:rsid w:val="00B76730"/>
    <w:rsid w:val="00B82615"/>
    <w:rsid w:val="00B85D2B"/>
    <w:rsid w:val="00B866A7"/>
    <w:rsid w:val="00B91621"/>
    <w:rsid w:val="00B923F7"/>
    <w:rsid w:val="00B93BC1"/>
    <w:rsid w:val="00B963EB"/>
    <w:rsid w:val="00B97C35"/>
    <w:rsid w:val="00B97D4F"/>
    <w:rsid w:val="00BA3BDD"/>
    <w:rsid w:val="00BA4D1A"/>
    <w:rsid w:val="00BA5110"/>
    <w:rsid w:val="00BA5FD0"/>
    <w:rsid w:val="00BA631B"/>
    <w:rsid w:val="00BB1B57"/>
    <w:rsid w:val="00BB2C18"/>
    <w:rsid w:val="00BB4523"/>
    <w:rsid w:val="00BB6DEE"/>
    <w:rsid w:val="00BC143D"/>
    <w:rsid w:val="00BC1C46"/>
    <w:rsid w:val="00BC2F6A"/>
    <w:rsid w:val="00BC4C59"/>
    <w:rsid w:val="00BC510F"/>
    <w:rsid w:val="00BD1F5E"/>
    <w:rsid w:val="00BD3550"/>
    <w:rsid w:val="00BD38BB"/>
    <w:rsid w:val="00BD4F65"/>
    <w:rsid w:val="00BD638A"/>
    <w:rsid w:val="00BE119B"/>
    <w:rsid w:val="00BE1642"/>
    <w:rsid w:val="00BE51EC"/>
    <w:rsid w:val="00BF2CC8"/>
    <w:rsid w:val="00BF364B"/>
    <w:rsid w:val="00BF6DFE"/>
    <w:rsid w:val="00C003BB"/>
    <w:rsid w:val="00C03405"/>
    <w:rsid w:val="00C05E99"/>
    <w:rsid w:val="00C0667F"/>
    <w:rsid w:val="00C112BE"/>
    <w:rsid w:val="00C1519C"/>
    <w:rsid w:val="00C17F1D"/>
    <w:rsid w:val="00C20CCC"/>
    <w:rsid w:val="00C228CD"/>
    <w:rsid w:val="00C23CC3"/>
    <w:rsid w:val="00C31422"/>
    <w:rsid w:val="00C318A7"/>
    <w:rsid w:val="00C33928"/>
    <w:rsid w:val="00C34E7E"/>
    <w:rsid w:val="00C36BB7"/>
    <w:rsid w:val="00C42D43"/>
    <w:rsid w:val="00C4366E"/>
    <w:rsid w:val="00C44F9E"/>
    <w:rsid w:val="00C4679D"/>
    <w:rsid w:val="00C46E5A"/>
    <w:rsid w:val="00C51196"/>
    <w:rsid w:val="00C51B27"/>
    <w:rsid w:val="00C52F9B"/>
    <w:rsid w:val="00C55BE6"/>
    <w:rsid w:val="00C55F5E"/>
    <w:rsid w:val="00C566CF"/>
    <w:rsid w:val="00C57D36"/>
    <w:rsid w:val="00C64EF9"/>
    <w:rsid w:val="00C708B7"/>
    <w:rsid w:val="00C709CA"/>
    <w:rsid w:val="00C7178D"/>
    <w:rsid w:val="00C722DC"/>
    <w:rsid w:val="00C737FD"/>
    <w:rsid w:val="00C741D2"/>
    <w:rsid w:val="00C8103B"/>
    <w:rsid w:val="00C81E6F"/>
    <w:rsid w:val="00C81E71"/>
    <w:rsid w:val="00C822C5"/>
    <w:rsid w:val="00C8405E"/>
    <w:rsid w:val="00C90E53"/>
    <w:rsid w:val="00C94F6B"/>
    <w:rsid w:val="00C95A46"/>
    <w:rsid w:val="00CA0224"/>
    <w:rsid w:val="00CA66E5"/>
    <w:rsid w:val="00CC0527"/>
    <w:rsid w:val="00CC2324"/>
    <w:rsid w:val="00CD3FE3"/>
    <w:rsid w:val="00CE0337"/>
    <w:rsid w:val="00CE1E85"/>
    <w:rsid w:val="00CE3F55"/>
    <w:rsid w:val="00CE6AAA"/>
    <w:rsid w:val="00CF2F0E"/>
    <w:rsid w:val="00CF38DF"/>
    <w:rsid w:val="00CF40E3"/>
    <w:rsid w:val="00CF49F7"/>
    <w:rsid w:val="00CF5517"/>
    <w:rsid w:val="00D0053A"/>
    <w:rsid w:val="00D012A7"/>
    <w:rsid w:val="00D01FED"/>
    <w:rsid w:val="00D02905"/>
    <w:rsid w:val="00D07139"/>
    <w:rsid w:val="00D07BB2"/>
    <w:rsid w:val="00D142A8"/>
    <w:rsid w:val="00D1431E"/>
    <w:rsid w:val="00D16D94"/>
    <w:rsid w:val="00D20C9F"/>
    <w:rsid w:val="00D21C2D"/>
    <w:rsid w:val="00D22C2E"/>
    <w:rsid w:val="00D242B5"/>
    <w:rsid w:val="00D24F2C"/>
    <w:rsid w:val="00D25E49"/>
    <w:rsid w:val="00D30C0F"/>
    <w:rsid w:val="00D439C6"/>
    <w:rsid w:val="00D43CCE"/>
    <w:rsid w:val="00D44D0B"/>
    <w:rsid w:val="00D50BB3"/>
    <w:rsid w:val="00D51151"/>
    <w:rsid w:val="00D52255"/>
    <w:rsid w:val="00D52FE8"/>
    <w:rsid w:val="00D551B3"/>
    <w:rsid w:val="00D578E9"/>
    <w:rsid w:val="00D70244"/>
    <w:rsid w:val="00D72CB1"/>
    <w:rsid w:val="00D72E3E"/>
    <w:rsid w:val="00D745DB"/>
    <w:rsid w:val="00D75AE3"/>
    <w:rsid w:val="00D75BCF"/>
    <w:rsid w:val="00D7716A"/>
    <w:rsid w:val="00D772D6"/>
    <w:rsid w:val="00D77E3D"/>
    <w:rsid w:val="00D80359"/>
    <w:rsid w:val="00D87051"/>
    <w:rsid w:val="00D87360"/>
    <w:rsid w:val="00D92A85"/>
    <w:rsid w:val="00D92DEC"/>
    <w:rsid w:val="00D97793"/>
    <w:rsid w:val="00D978E7"/>
    <w:rsid w:val="00DA0174"/>
    <w:rsid w:val="00DA19DF"/>
    <w:rsid w:val="00DA38B3"/>
    <w:rsid w:val="00DA5D1F"/>
    <w:rsid w:val="00DA65B2"/>
    <w:rsid w:val="00DB286C"/>
    <w:rsid w:val="00DB4480"/>
    <w:rsid w:val="00DB459F"/>
    <w:rsid w:val="00DB485F"/>
    <w:rsid w:val="00DB68A4"/>
    <w:rsid w:val="00DC2B65"/>
    <w:rsid w:val="00DD155C"/>
    <w:rsid w:val="00DD46C6"/>
    <w:rsid w:val="00DD4D7A"/>
    <w:rsid w:val="00DD4EB8"/>
    <w:rsid w:val="00DD4F01"/>
    <w:rsid w:val="00DD65D2"/>
    <w:rsid w:val="00DE037C"/>
    <w:rsid w:val="00DE38EC"/>
    <w:rsid w:val="00DE3C68"/>
    <w:rsid w:val="00DE3F0C"/>
    <w:rsid w:val="00DE4F83"/>
    <w:rsid w:val="00DF442D"/>
    <w:rsid w:val="00DF707D"/>
    <w:rsid w:val="00DF78AD"/>
    <w:rsid w:val="00E1167C"/>
    <w:rsid w:val="00E12A4C"/>
    <w:rsid w:val="00E177E6"/>
    <w:rsid w:val="00E21EAD"/>
    <w:rsid w:val="00E23962"/>
    <w:rsid w:val="00E24E4E"/>
    <w:rsid w:val="00E25865"/>
    <w:rsid w:val="00E274D2"/>
    <w:rsid w:val="00E3436B"/>
    <w:rsid w:val="00E3599B"/>
    <w:rsid w:val="00E40A89"/>
    <w:rsid w:val="00E41168"/>
    <w:rsid w:val="00E42A85"/>
    <w:rsid w:val="00E4511E"/>
    <w:rsid w:val="00E451E8"/>
    <w:rsid w:val="00E47043"/>
    <w:rsid w:val="00E5062A"/>
    <w:rsid w:val="00E50CE1"/>
    <w:rsid w:val="00E50F3C"/>
    <w:rsid w:val="00E537F7"/>
    <w:rsid w:val="00E549B6"/>
    <w:rsid w:val="00E54DDF"/>
    <w:rsid w:val="00E61F9F"/>
    <w:rsid w:val="00E633E9"/>
    <w:rsid w:val="00E652AA"/>
    <w:rsid w:val="00E70D21"/>
    <w:rsid w:val="00E75663"/>
    <w:rsid w:val="00E7689F"/>
    <w:rsid w:val="00E770D6"/>
    <w:rsid w:val="00E801D5"/>
    <w:rsid w:val="00E80E81"/>
    <w:rsid w:val="00E8433A"/>
    <w:rsid w:val="00E8456A"/>
    <w:rsid w:val="00E86316"/>
    <w:rsid w:val="00E87742"/>
    <w:rsid w:val="00E90EEC"/>
    <w:rsid w:val="00E93481"/>
    <w:rsid w:val="00E93AF0"/>
    <w:rsid w:val="00E94C33"/>
    <w:rsid w:val="00E95F52"/>
    <w:rsid w:val="00EA07ED"/>
    <w:rsid w:val="00EA30DF"/>
    <w:rsid w:val="00EA5BCA"/>
    <w:rsid w:val="00EA64C3"/>
    <w:rsid w:val="00EA6951"/>
    <w:rsid w:val="00EB2077"/>
    <w:rsid w:val="00EB3496"/>
    <w:rsid w:val="00EC2EF5"/>
    <w:rsid w:val="00ED04B7"/>
    <w:rsid w:val="00ED4479"/>
    <w:rsid w:val="00EE0A53"/>
    <w:rsid w:val="00EE1633"/>
    <w:rsid w:val="00EE16C2"/>
    <w:rsid w:val="00EE26C4"/>
    <w:rsid w:val="00EE7524"/>
    <w:rsid w:val="00EE7E58"/>
    <w:rsid w:val="00EF0141"/>
    <w:rsid w:val="00EF090E"/>
    <w:rsid w:val="00EF3B6B"/>
    <w:rsid w:val="00EF4334"/>
    <w:rsid w:val="00EF511B"/>
    <w:rsid w:val="00EF5716"/>
    <w:rsid w:val="00EF7258"/>
    <w:rsid w:val="00F00902"/>
    <w:rsid w:val="00F01BBC"/>
    <w:rsid w:val="00F04B6D"/>
    <w:rsid w:val="00F05A7F"/>
    <w:rsid w:val="00F06502"/>
    <w:rsid w:val="00F07CEB"/>
    <w:rsid w:val="00F100B9"/>
    <w:rsid w:val="00F10198"/>
    <w:rsid w:val="00F130BD"/>
    <w:rsid w:val="00F13CEB"/>
    <w:rsid w:val="00F21D91"/>
    <w:rsid w:val="00F22E8C"/>
    <w:rsid w:val="00F2351E"/>
    <w:rsid w:val="00F23B4A"/>
    <w:rsid w:val="00F252D4"/>
    <w:rsid w:val="00F333ED"/>
    <w:rsid w:val="00F37F21"/>
    <w:rsid w:val="00F40C9E"/>
    <w:rsid w:val="00F4335E"/>
    <w:rsid w:val="00F452A6"/>
    <w:rsid w:val="00F45E12"/>
    <w:rsid w:val="00F547F1"/>
    <w:rsid w:val="00F55115"/>
    <w:rsid w:val="00F60C94"/>
    <w:rsid w:val="00F665D2"/>
    <w:rsid w:val="00F7769E"/>
    <w:rsid w:val="00F77F56"/>
    <w:rsid w:val="00F804F5"/>
    <w:rsid w:val="00F8188A"/>
    <w:rsid w:val="00F82261"/>
    <w:rsid w:val="00F8287E"/>
    <w:rsid w:val="00F8294E"/>
    <w:rsid w:val="00F829DA"/>
    <w:rsid w:val="00F90ABE"/>
    <w:rsid w:val="00F91947"/>
    <w:rsid w:val="00F97544"/>
    <w:rsid w:val="00FA0FE1"/>
    <w:rsid w:val="00FA129D"/>
    <w:rsid w:val="00FA1B73"/>
    <w:rsid w:val="00FA2C2F"/>
    <w:rsid w:val="00FA5173"/>
    <w:rsid w:val="00FA6284"/>
    <w:rsid w:val="00FB2CC8"/>
    <w:rsid w:val="00FB5DF1"/>
    <w:rsid w:val="00FB65D3"/>
    <w:rsid w:val="00FC58DD"/>
    <w:rsid w:val="00FC6806"/>
    <w:rsid w:val="00FD2311"/>
    <w:rsid w:val="00FD3487"/>
    <w:rsid w:val="00FD69CF"/>
    <w:rsid w:val="00FE4CE6"/>
    <w:rsid w:val="00FF12AA"/>
    <w:rsid w:val="00FF1718"/>
    <w:rsid w:val="00FF1F72"/>
    <w:rsid w:val="00FF2565"/>
    <w:rsid w:val="00FF3306"/>
    <w:rsid w:val="00FF4F95"/>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DCFC05-FED6-4261-95AB-617EB21B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17F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7F1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17F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7F1D"/>
    <w:rPr>
      <w:color w:val="0000FF"/>
      <w:u w:val="single"/>
    </w:rPr>
  </w:style>
  <w:style w:type="character" w:styleId="Strong">
    <w:name w:val="Strong"/>
    <w:basedOn w:val="DefaultParagraphFont"/>
    <w:uiPriority w:val="22"/>
    <w:qFormat/>
    <w:rsid w:val="00C17F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96647">
      <w:bodyDiv w:val="1"/>
      <w:marLeft w:val="0"/>
      <w:marRight w:val="0"/>
      <w:marTop w:val="0"/>
      <w:marBottom w:val="0"/>
      <w:divBdr>
        <w:top w:val="none" w:sz="0" w:space="0" w:color="auto"/>
        <w:left w:val="none" w:sz="0" w:space="0" w:color="auto"/>
        <w:bottom w:val="none" w:sz="0" w:space="0" w:color="auto"/>
        <w:right w:val="none" w:sz="0" w:space="0" w:color="auto"/>
      </w:divBdr>
      <w:divsChild>
        <w:div w:id="1361934508">
          <w:marLeft w:val="0"/>
          <w:marRight w:val="0"/>
          <w:marTop w:val="0"/>
          <w:marBottom w:val="0"/>
          <w:divBdr>
            <w:top w:val="none" w:sz="0" w:space="0" w:color="auto"/>
            <w:left w:val="none" w:sz="0" w:space="0" w:color="auto"/>
            <w:bottom w:val="none" w:sz="0" w:space="0" w:color="auto"/>
            <w:right w:val="none" w:sz="0" w:space="0" w:color="auto"/>
          </w:divBdr>
        </w:div>
      </w:divsChild>
    </w:div>
    <w:div w:id="162598648">
      <w:bodyDiv w:val="1"/>
      <w:marLeft w:val="0"/>
      <w:marRight w:val="0"/>
      <w:marTop w:val="0"/>
      <w:marBottom w:val="0"/>
      <w:divBdr>
        <w:top w:val="none" w:sz="0" w:space="0" w:color="auto"/>
        <w:left w:val="none" w:sz="0" w:space="0" w:color="auto"/>
        <w:bottom w:val="none" w:sz="0" w:space="0" w:color="auto"/>
        <w:right w:val="none" w:sz="0" w:space="0" w:color="auto"/>
      </w:divBdr>
      <w:divsChild>
        <w:div w:id="1681543409">
          <w:marLeft w:val="0"/>
          <w:marRight w:val="0"/>
          <w:marTop w:val="0"/>
          <w:marBottom w:val="0"/>
          <w:divBdr>
            <w:top w:val="none" w:sz="0" w:space="0" w:color="auto"/>
            <w:left w:val="none" w:sz="0" w:space="0" w:color="auto"/>
            <w:bottom w:val="none" w:sz="0" w:space="0" w:color="auto"/>
            <w:right w:val="none" w:sz="0" w:space="0" w:color="auto"/>
          </w:divBdr>
        </w:div>
      </w:divsChild>
    </w:div>
    <w:div w:id="470292666">
      <w:bodyDiv w:val="1"/>
      <w:marLeft w:val="0"/>
      <w:marRight w:val="0"/>
      <w:marTop w:val="0"/>
      <w:marBottom w:val="0"/>
      <w:divBdr>
        <w:top w:val="none" w:sz="0" w:space="0" w:color="auto"/>
        <w:left w:val="none" w:sz="0" w:space="0" w:color="auto"/>
        <w:bottom w:val="none" w:sz="0" w:space="0" w:color="auto"/>
        <w:right w:val="none" w:sz="0" w:space="0" w:color="auto"/>
      </w:divBdr>
      <w:divsChild>
        <w:div w:id="1967661095">
          <w:marLeft w:val="0"/>
          <w:marRight w:val="0"/>
          <w:marTop w:val="0"/>
          <w:marBottom w:val="0"/>
          <w:divBdr>
            <w:top w:val="none" w:sz="0" w:space="0" w:color="auto"/>
            <w:left w:val="none" w:sz="0" w:space="0" w:color="auto"/>
            <w:bottom w:val="none" w:sz="0" w:space="0" w:color="auto"/>
            <w:right w:val="none" w:sz="0" w:space="0" w:color="auto"/>
          </w:divBdr>
        </w:div>
      </w:divsChild>
    </w:div>
    <w:div w:id="565918435">
      <w:bodyDiv w:val="1"/>
      <w:marLeft w:val="0"/>
      <w:marRight w:val="0"/>
      <w:marTop w:val="0"/>
      <w:marBottom w:val="0"/>
      <w:divBdr>
        <w:top w:val="none" w:sz="0" w:space="0" w:color="auto"/>
        <w:left w:val="none" w:sz="0" w:space="0" w:color="auto"/>
        <w:bottom w:val="none" w:sz="0" w:space="0" w:color="auto"/>
        <w:right w:val="none" w:sz="0" w:space="0" w:color="auto"/>
      </w:divBdr>
      <w:divsChild>
        <w:div w:id="1729036592">
          <w:marLeft w:val="0"/>
          <w:marRight w:val="0"/>
          <w:marTop w:val="0"/>
          <w:marBottom w:val="0"/>
          <w:divBdr>
            <w:top w:val="none" w:sz="0" w:space="0" w:color="auto"/>
            <w:left w:val="none" w:sz="0" w:space="0" w:color="auto"/>
            <w:bottom w:val="none" w:sz="0" w:space="0" w:color="auto"/>
            <w:right w:val="none" w:sz="0" w:space="0" w:color="auto"/>
          </w:divBdr>
        </w:div>
      </w:divsChild>
    </w:div>
    <w:div w:id="700084979">
      <w:bodyDiv w:val="1"/>
      <w:marLeft w:val="0"/>
      <w:marRight w:val="0"/>
      <w:marTop w:val="0"/>
      <w:marBottom w:val="0"/>
      <w:divBdr>
        <w:top w:val="none" w:sz="0" w:space="0" w:color="auto"/>
        <w:left w:val="none" w:sz="0" w:space="0" w:color="auto"/>
        <w:bottom w:val="none" w:sz="0" w:space="0" w:color="auto"/>
        <w:right w:val="none" w:sz="0" w:space="0" w:color="auto"/>
      </w:divBdr>
      <w:divsChild>
        <w:div w:id="302656599">
          <w:marLeft w:val="0"/>
          <w:marRight w:val="0"/>
          <w:marTop w:val="0"/>
          <w:marBottom w:val="0"/>
          <w:divBdr>
            <w:top w:val="none" w:sz="0" w:space="0" w:color="auto"/>
            <w:left w:val="none" w:sz="0" w:space="0" w:color="auto"/>
            <w:bottom w:val="none" w:sz="0" w:space="0" w:color="auto"/>
            <w:right w:val="none" w:sz="0" w:space="0" w:color="auto"/>
          </w:divBdr>
        </w:div>
      </w:divsChild>
    </w:div>
    <w:div w:id="729957482">
      <w:bodyDiv w:val="1"/>
      <w:marLeft w:val="0"/>
      <w:marRight w:val="0"/>
      <w:marTop w:val="0"/>
      <w:marBottom w:val="0"/>
      <w:divBdr>
        <w:top w:val="none" w:sz="0" w:space="0" w:color="auto"/>
        <w:left w:val="none" w:sz="0" w:space="0" w:color="auto"/>
        <w:bottom w:val="none" w:sz="0" w:space="0" w:color="auto"/>
        <w:right w:val="none" w:sz="0" w:space="0" w:color="auto"/>
      </w:divBdr>
      <w:divsChild>
        <w:div w:id="829634992">
          <w:marLeft w:val="0"/>
          <w:marRight w:val="0"/>
          <w:marTop w:val="0"/>
          <w:marBottom w:val="0"/>
          <w:divBdr>
            <w:top w:val="none" w:sz="0" w:space="0" w:color="auto"/>
            <w:left w:val="none" w:sz="0" w:space="0" w:color="auto"/>
            <w:bottom w:val="none" w:sz="0" w:space="0" w:color="auto"/>
            <w:right w:val="none" w:sz="0" w:space="0" w:color="auto"/>
          </w:divBdr>
        </w:div>
      </w:divsChild>
    </w:div>
    <w:div w:id="1240366683">
      <w:bodyDiv w:val="1"/>
      <w:marLeft w:val="0"/>
      <w:marRight w:val="0"/>
      <w:marTop w:val="0"/>
      <w:marBottom w:val="0"/>
      <w:divBdr>
        <w:top w:val="none" w:sz="0" w:space="0" w:color="auto"/>
        <w:left w:val="none" w:sz="0" w:space="0" w:color="auto"/>
        <w:bottom w:val="none" w:sz="0" w:space="0" w:color="auto"/>
        <w:right w:val="none" w:sz="0" w:space="0" w:color="auto"/>
      </w:divBdr>
      <w:divsChild>
        <w:div w:id="311107819">
          <w:marLeft w:val="0"/>
          <w:marRight w:val="0"/>
          <w:marTop w:val="0"/>
          <w:marBottom w:val="0"/>
          <w:divBdr>
            <w:top w:val="none" w:sz="0" w:space="0" w:color="auto"/>
            <w:left w:val="none" w:sz="0" w:space="0" w:color="auto"/>
            <w:bottom w:val="none" w:sz="0" w:space="0" w:color="auto"/>
            <w:right w:val="none" w:sz="0" w:space="0" w:color="auto"/>
          </w:divBdr>
        </w:div>
      </w:divsChild>
    </w:div>
    <w:div w:id="1383793547">
      <w:bodyDiv w:val="1"/>
      <w:marLeft w:val="0"/>
      <w:marRight w:val="0"/>
      <w:marTop w:val="0"/>
      <w:marBottom w:val="0"/>
      <w:divBdr>
        <w:top w:val="none" w:sz="0" w:space="0" w:color="auto"/>
        <w:left w:val="none" w:sz="0" w:space="0" w:color="auto"/>
        <w:bottom w:val="none" w:sz="0" w:space="0" w:color="auto"/>
        <w:right w:val="none" w:sz="0" w:space="0" w:color="auto"/>
      </w:divBdr>
      <w:divsChild>
        <w:div w:id="689456031">
          <w:marLeft w:val="0"/>
          <w:marRight w:val="0"/>
          <w:marTop w:val="0"/>
          <w:marBottom w:val="0"/>
          <w:divBdr>
            <w:top w:val="none" w:sz="0" w:space="0" w:color="auto"/>
            <w:left w:val="none" w:sz="0" w:space="0" w:color="auto"/>
            <w:bottom w:val="none" w:sz="0" w:space="0" w:color="auto"/>
            <w:right w:val="none" w:sz="0" w:space="0" w:color="auto"/>
          </w:divBdr>
        </w:div>
      </w:divsChild>
    </w:div>
    <w:div w:id="1418551087">
      <w:bodyDiv w:val="1"/>
      <w:marLeft w:val="0"/>
      <w:marRight w:val="0"/>
      <w:marTop w:val="0"/>
      <w:marBottom w:val="0"/>
      <w:divBdr>
        <w:top w:val="none" w:sz="0" w:space="0" w:color="auto"/>
        <w:left w:val="none" w:sz="0" w:space="0" w:color="auto"/>
        <w:bottom w:val="none" w:sz="0" w:space="0" w:color="auto"/>
        <w:right w:val="none" w:sz="0" w:space="0" w:color="auto"/>
      </w:divBdr>
      <w:divsChild>
        <w:div w:id="584924690">
          <w:marLeft w:val="0"/>
          <w:marRight w:val="0"/>
          <w:marTop w:val="0"/>
          <w:marBottom w:val="0"/>
          <w:divBdr>
            <w:top w:val="none" w:sz="0" w:space="0" w:color="auto"/>
            <w:left w:val="none" w:sz="0" w:space="0" w:color="auto"/>
            <w:bottom w:val="none" w:sz="0" w:space="0" w:color="auto"/>
            <w:right w:val="none" w:sz="0" w:space="0" w:color="auto"/>
          </w:divBdr>
        </w:div>
      </w:divsChild>
    </w:div>
    <w:div w:id="1436444215">
      <w:bodyDiv w:val="1"/>
      <w:marLeft w:val="0"/>
      <w:marRight w:val="0"/>
      <w:marTop w:val="0"/>
      <w:marBottom w:val="0"/>
      <w:divBdr>
        <w:top w:val="none" w:sz="0" w:space="0" w:color="auto"/>
        <w:left w:val="none" w:sz="0" w:space="0" w:color="auto"/>
        <w:bottom w:val="none" w:sz="0" w:space="0" w:color="auto"/>
        <w:right w:val="none" w:sz="0" w:space="0" w:color="auto"/>
      </w:divBdr>
      <w:divsChild>
        <w:div w:id="2127654885">
          <w:marLeft w:val="0"/>
          <w:marRight w:val="0"/>
          <w:marTop w:val="0"/>
          <w:marBottom w:val="0"/>
          <w:divBdr>
            <w:top w:val="none" w:sz="0" w:space="0" w:color="auto"/>
            <w:left w:val="none" w:sz="0" w:space="0" w:color="auto"/>
            <w:bottom w:val="none" w:sz="0" w:space="0" w:color="auto"/>
            <w:right w:val="none" w:sz="0" w:space="0" w:color="auto"/>
          </w:divBdr>
        </w:div>
      </w:divsChild>
    </w:div>
    <w:div w:id="1549681179">
      <w:bodyDiv w:val="1"/>
      <w:marLeft w:val="0"/>
      <w:marRight w:val="0"/>
      <w:marTop w:val="0"/>
      <w:marBottom w:val="0"/>
      <w:divBdr>
        <w:top w:val="none" w:sz="0" w:space="0" w:color="auto"/>
        <w:left w:val="none" w:sz="0" w:space="0" w:color="auto"/>
        <w:bottom w:val="none" w:sz="0" w:space="0" w:color="auto"/>
        <w:right w:val="none" w:sz="0" w:space="0" w:color="auto"/>
      </w:divBdr>
      <w:divsChild>
        <w:div w:id="168641934">
          <w:marLeft w:val="0"/>
          <w:marRight w:val="0"/>
          <w:marTop w:val="0"/>
          <w:marBottom w:val="0"/>
          <w:divBdr>
            <w:top w:val="none" w:sz="0" w:space="0" w:color="auto"/>
            <w:left w:val="none" w:sz="0" w:space="0" w:color="auto"/>
            <w:bottom w:val="none" w:sz="0" w:space="0" w:color="auto"/>
            <w:right w:val="none" w:sz="0" w:space="0" w:color="auto"/>
          </w:divBdr>
        </w:div>
      </w:divsChild>
    </w:div>
    <w:div w:id="1838963299">
      <w:bodyDiv w:val="1"/>
      <w:marLeft w:val="0"/>
      <w:marRight w:val="0"/>
      <w:marTop w:val="0"/>
      <w:marBottom w:val="0"/>
      <w:divBdr>
        <w:top w:val="none" w:sz="0" w:space="0" w:color="auto"/>
        <w:left w:val="none" w:sz="0" w:space="0" w:color="auto"/>
        <w:bottom w:val="none" w:sz="0" w:space="0" w:color="auto"/>
        <w:right w:val="none" w:sz="0" w:space="0" w:color="auto"/>
      </w:divBdr>
      <w:divsChild>
        <w:div w:id="1175193045">
          <w:marLeft w:val="0"/>
          <w:marRight w:val="0"/>
          <w:marTop w:val="0"/>
          <w:marBottom w:val="0"/>
          <w:divBdr>
            <w:top w:val="none" w:sz="0" w:space="0" w:color="auto"/>
            <w:left w:val="none" w:sz="0" w:space="0" w:color="auto"/>
            <w:bottom w:val="none" w:sz="0" w:space="0" w:color="auto"/>
            <w:right w:val="none" w:sz="0" w:space="0" w:color="auto"/>
          </w:divBdr>
        </w:div>
      </w:divsChild>
    </w:div>
    <w:div w:id="1882669777">
      <w:bodyDiv w:val="1"/>
      <w:marLeft w:val="0"/>
      <w:marRight w:val="0"/>
      <w:marTop w:val="0"/>
      <w:marBottom w:val="0"/>
      <w:divBdr>
        <w:top w:val="none" w:sz="0" w:space="0" w:color="auto"/>
        <w:left w:val="none" w:sz="0" w:space="0" w:color="auto"/>
        <w:bottom w:val="none" w:sz="0" w:space="0" w:color="auto"/>
        <w:right w:val="none" w:sz="0" w:space="0" w:color="auto"/>
      </w:divBdr>
      <w:divsChild>
        <w:div w:id="735664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nect-nonprod.mheducation.com.s3.amazonaws.com/Media/Demo/bne/Edmonds_8e_1259748588/pva_table.jpg" TargetMode="External"/><Relationship Id="rId3" Type="http://schemas.openxmlformats.org/officeDocument/2006/relationships/settings" Target="settings.xml"/><Relationship Id="rId7" Type="http://schemas.openxmlformats.org/officeDocument/2006/relationships/hyperlink" Target="http://connect-nonprod.mheducation.com.s3.amazonaws.com/Media/Demo/bne/Edmonds_8e_1259748588/pv_table.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nect-nonprod.mheducation.com.s3.amazonaws.com/Media/Demo/bne/Edmonds_8e_1259748588/pva_table.jpg" TargetMode="External"/><Relationship Id="rId11" Type="http://schemas.openxmlformats.org/officeDocument/2006/relationships/fontTable" Target="fontTable.xml"/><Relationship Id="rId5" Type="http://schemas.openxmlformats.org/officeDocument/2006/relationships/hyperlink" Target="http://connect-nonprod.mheducation.com.s3.amazonaws.com/Media/Demo/bne/Edmonds_8e_1259748588/pv_table.jpg" TargetMode="External"/><Relationship Id="rId10" Type="http://schemas.openxmlformats.org/officeDocument/2006/relationships/hyperlink" Target="http://connect-nonprod.mheducation.com.s3.amazonaws.com/Media/Demo/bne/Edmonds_8e_1259748588/pva_table.jpg" TargetMode="External"/><Relationship Id="rId4" Type="http://schemas.openxmlformats.org/officeDocument/2006/relationships/webSettings" Target="webSettings.xml"/><Relationship Id="rId9" Type="http://schemas.openxmlformats.org/officeDocument/2006/relationships/hyperlink" Target="http://connect-nonprod.mheducation.com.s3.amazonaws.com/Media/Demo/bne/Edmonds_8e_1259748588/pv_tabl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2019-10-16T20:02:00Z</dcterms:created>
  <dcterms:modified xsi:type="dcterms:W3CDTF">2019-10-16T20:02:00Z</dcterms:modified>
</cp:coreProperties>
</file>